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204EE3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>Послуги з технічного обслуговування та ремонту транспортних засобів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204EE3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ignt"/>
              </w:rPr>
              <w:t xml:space="preserve">50110000-9 </w:t>
            </w:r>
            <w:proofErr w:type="spellStart"/>
            <w:r>
              <w:rPr>
                <w:rStyle w:val="valignt"/>
              </w:rPr>
              <w:t>Послуги</w:t>
            </w:r>
            <w:proofErr w:type="spellEnd"/>
            <w:r>
              <w:rPr>
                <w:rStyle w:val="valignt"/>
              </w:rPr>
              <w:t xml:space="preserve"> з </w:t>
            </w:r>
            <w:proofErr w:type="spellStart"/>
            <w:r>
              <w:rPr>
                <w:rStyle w:val="valignt"/>
              </w:rPr>
              <w:t>ремонту</w:t>
            </w:r>
            <w:proofErr w:type="spellEnd"/>
            <w:r>
              <w:rPr>
                <w:rStyle w:val="valignt"/>
              </w:rPr>
              <w:t xml:space="preserve"> і </w:t>
            </w:r>
            <w:proofErr w:type="spellStart"/>
            <w:r>
              <w:rPr>
                <w:rStyle w:val="valignt"/>
              </w:rPr>
              <w:t>технічного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обслуговування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мототранспортних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засобів</w:t>
            </w:r>
            <w:proofErr w:type="spellEnd"/>
            <w:r>
              <w:rPr>
                <w:rStyle w:val="valignt"/>
              </w:rPr>
              <w:t xml:space="preserve"> і </w:t>
            </w:r>
            <w:proofErr w:type="spellStart"/>
            <w:r>
              <w:rPr>
                <w:rStyle w:val="valignt"/>
              </w:rPr>
              <w:t>супутнього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обладнання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2C1EE6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UA-2023-11-22-017022-a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E3" w:rsidRPr="00204EE3" w:rsidRDefault="00204EE3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Послуги з технічного обслуговування і ремонту транспортних засобів Замовника повинні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відповідати вимогам Законів України «Про дорожній рух», «Про транспорт», 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автомобільний транспорт», «Про захист прав споживачів», «Правил надання послуг з технічного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обслуговування і ремонту колісних транспортних засобів», затверджених наказом Міністерства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інфраструктури України від 28.11.2014 р. № 615, порядку їх проведення, визначеному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Положенням про технічне обслуговування і ремонт дорожніх транспортних засобів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автомобільного транспорту, затвердженим наказом Міністерства транспорту України № 102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30.03.1998 р., Технічним регламентом з технічного обслуговування і ремонту колісних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транспортних засобів, затвердженим Постановою КМУ від 03.07.2013 №643 та інструкцій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заводів - виробників транспортних засобів</w:t>
            </w:r>
            <w:r>
              <w:t>.</w:t>
            </w:r>
            <w:r w:rsidR="00873F6B">
              <w:t xml:space="preserve">     </w:t>
            </w:r>
          </w:p>
          <w:p w:rsidR="0052423C" w:rsidRDefault="00873F6B" w:rsidP="00204EE3">
            <w:pPr>
              <w:pStyle w:val="Standard"/>
              <w:ind w:left="32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  <w:p w:rsidR="002C1EE6" w:rsidRPr="002C1EE6" w:rsidRDefault="002C1EE6" w:rsidP="00204EE3">
            <w:pPr>
              <w:pStyle w:val="Standard"/>
              <w:ind w:left="32"/>
              <w:jc w:val="both"/>
              <w:rPr>
                <w:lang w:val="en-US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2C1EE6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150</w:t>
            </w:r>
            <w:r w:rsidR="00040524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чікувана вартість закупівлі розрахована у межах 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B3" w:rsidRDefault="005534B3">
      <w:pPr>
        <w:spacing w:line="240" w:lineRule="auto"/>
      </w:pPr>
      <w:r>
        <w:separator/>
      </w:r>
    </w:p>
  </w:endnote>
  <w:endnote w:type="continuationSeparator" w:id="0">
    <w:p w:rsidR="005534B3" w:rsidRDefault="00553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B3" w:rsidRDefault="005534B3">
      <w:pPr>
        <w:spacing w:line="240" w:lineRule="auto"/>
      </w:pPr>
      <w:r>
        <w:separator/>
      </w:r>
    </w:p>
  </w:footnote>
  <w:footnote w:type="continuationSeparator" w:id="0">
    <w:p w:rsidR="005534B3" w:rsidRDefault="005534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A3B6E"/>
    <w:rsid w:val="002B1D67"/>
    <w:rsid w:val="002C1EE6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2-01702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2023-11-23T13:50:00Z</cp:lastPrinted>
  <dcterms:created xsi:type="dcterms:W3CDTF">2023-06-23T07:00:00Z</dcterms:created>
  <dcterms:modified xsi:type="dcterms:W3CDTF">2023-11-23T13:50:00Z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