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21D6F46C" w:rsidR="002B72AC" w:rsidRPr="005160A1" w:rsidRDefault="002B72AC" w:rsidP="004A33E4">
      <w:pPr>
        <w:spacing w:before="120" w:after="120"/>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871C75" w:rsidRPr="00871C75">
        <w:rPr>
          <w:rFonts w:ascii="Times New Roman" w:hAnsi="Times New Roman" w:cs="Times New Roman"/>
          <w:b/>
          <w:color w:val="000000"/>
          <w:sz w:val="24"/>
          <w:szCs w:val="24"/>
        </w:rPr>
        <w:t>Послуг на проведення експертної оцінки об’єктів нерухомого майна</w:t>
      </w:r>
      <w:r w:rsidR="00321A21" w:rsidRPr="00871C75">
        <w:rPr>
          <w:rFonts w:ascii="Times New Roman" w:hAnsi="Times New Roman" w:cs="Times New Roman"/>
          <w:sz w:val="24"/>
          <w:szCs w:val="24"/>
        </w:rPr>
        <w:t xml:space="preserve"> </w:t>
      </w:r>
      <w:r w:rsidRPr="00871C75">
        <w:rPr>
          <w:rFonts w:ascii="Times New Roman" w:hAnsi="Times New Roman" w:cs="Times New Roman"/>
          <w:bCs/>
          <w:sz w:val="24"/>
          <w:szCs w:val="24"/>
        </w:rPr>
        <w:t>розміру бюджетного призначення</w:t>
      </w:r>
      <w:r w:rsidRPr="005160A1">
        <w:rPr>
          <w:rFonts w:ascii="Times New Roman" w:hAnsi="Times New Roman"/>
          <w:bCs/>
          <w:sz w:val="20"/>
          <w:szCs w:val="20"/>
        </w:rPr>
        <w:t>,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
          <w:rFonts w:ascii="Times New Roman" w:hAnsi="Times New Roman"/>
          <w:bCs/>
          <w:sz w:val="20"/>
          <w:szCs w:val="20"/>
        </w:rPr>
      </w:pPr>
      <w:r w:rsidRPr="002B4A84">
        <w:rPr>
          <w:rStyle w:val="a"/>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
          <w:rFonts w:ascii="Times New Roman" w:hAnsi="Times New Roman"/>
          <w:b/>
          <w:bCs/>
          <w:sz w:val="20"/>
          <w:szCs w:val="20"/>
          <w:u w:val="single"/>
        </w:rPr>
        <w:t>Держмитслужба м. Київ , вул. Дегтярівська, 11г, ЄДРПОУ 43115923</w:t>
      </w:r>
      <w:r w:rsidRPr="007E6D2F">
        <w:rPr>
          <w:rStyle w:val="a"/>
          <w:rFonts w:ascii="Times New Roman" w:hAnsi="Times New Roman"/>
          <w:b/>
          <w:bCs/>
          <w:sz w:val="20"/>
          <w:szCs w:val="20"/>
          <w:u w:val="single"/>
        </w:rPr>
        <w:t>.</w:t>
      </w:r>
    </w:p>
    <w:p w14:paraId="7B7AD9FD" w14:textId="77777777" w:rsidR="00871C75" w:rsidRPr="00871C75" w:rsidRDefault="002B72AC" w:rsidP="00871C75">
      <w:pPr>
        <w:spacing w:before="120" w:after="240"/>
        <w:ind w:firstLine="660"/>
        <w:jc w:val="both"/>
        <w:rPr>
          <w:rFonts w:ascii="Times New Roman" w:hAnsi="Times New Roman" w:cs="Times New Roman"/>
          <w:b/>
          <w:color w:val="000000"/>
          <w:sz w:val="24"/>
          <w:szCs w:val="24"/>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871C75" w:rsidRPr="00871C75">
        <w:rPr>
          <w:rFonts w:ascii="Times New Roman" w:hAnsi="Times New Roman" w:cs="Times New Roman"/>
          <w:b/>
          <w:color w:val="000000"/>
          <w:sz w:val="24"/>
          <w:szCs w:val="24"/>
        </w:rPr>
        <w:t>Послуги на проведення експертної оцінки об’єктів нерухомого майна за кодом ДК 71310000-4</w:t>
      </w:r>
      <w:r w:rsidR="00871C75" w:rsidRPr="00871C75">
        <w:rPr>
          <w:rFonts w:ascii="Times New Roman" w:hAnsi="Times New Roman" w:cs="Times New Roman"/>
          <w:b/>
          <w:sz w:val="24"/>
          <w:szCs w:val="24"/>
        </w:rPr>
        <w:t xml:space="preserve"> – Консультаційні послуги у галузях інженерії та будівництва (Послуги </w:t>
      </w:r>
      <w:r w:rsidR="00871C75" w:rsidRPr="00871C75">
        <w:rPr>
          <w:rFonts w:ascii="Times New Roman" w:hAnsi="Times New Roman" w:cs="Times New Roman"/>
          <w:b/>
          <w:color w:val="000000"/>
          <w:sz w:val="24"/>
          <w:szCs w:val="24"/>
        </w:rPr>
        <w:t>на проведення експертної оцінки об’єктів нерухомого майна</w:t>
      </w:r>
      <w:r w:rsidR="00871C75" w:rsidRPr="00871C75">
        <w:rPr>
          <w:rFonts w:ascii="Times New Roman" w:hAnsi="Times New Roman" w:cs="Times New Roman"/>
          <w:b/>
          <w:sz w:val="24"/>
          <w:szCs w:val="24"/>
        </w:rPr>
        <w:t xml:space="preserve"> ДК 021:2015-</w:t>
      </w:r>
      <w:r w:rsidR="00871C75" w:rsidRPr="00871C75">
        <w:rPr>
          <w:rFonts w:ascii="Times New Roman" w:hAnsi="Times New Roman" w:cs="Times New Roman"/>
          <w:b/>
          <w:color w:val="000000"/>
          <w:sz w:val="24"/>
          <w:szCs w:val="24"/>
        </w:rPr>
        <w:t>71319000-7 (Експерті послуги)</w:t>
      </w:r>
    </w:p>
    <w:p w14:paraId="03A0AE5A" w14:textId="176792E3" w:rsidR="00321A21" w:rsidRPr="00321A21" w:rsidRDefault="00321A21" w:rsidP="00321A21">
      <w:pPr>
        <w:jc w:val="both"/>
        <w:outlineLvl w:val="0"/>
        <w:rPr>
          <w:rFonts w:ascii="Times New Roman" w:hAnsi="Times New Roman" w:cs="Times New Roman"/>
          <w:sz w:val="26"/>
          <w:szCs w:val="26"/>
        </w:rPr>
      </w:pPr>
    </w:p>
    <w:p w14:paraId="5C29E717" w14:textId="599358D1" w:rsidR="002B72AC" w:rsidRPr="00F358F7" w:rsidRDefault="002B72AC" w:rsidP="00321A21">
      <w:pPr>
        <w:widowControl w:val="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871C75" w:rsidRPr="00871C75">
        <w:rPr>
          <w:rFonts w:ascii="Times New Roman" w:hAnsi="Times New Roman"/>
          <w:sz w:val="20"/>
          <w:szCs w:val="20"/>
          <w:u w:val="single"/>
          <w:lang w:val="ru-RU"/>
        </w:rPr>
        <w:t>12</w:t>
      </w:r>
      <w:r w:rsidR="007E6D2F" w:rsidRPr="007E6D2F">
        <w:rPr>
          <w:rFonts w:ascii="Times New Roman" w:hAnsi="Times New Roman"/>
          <w:sz w:val="20"/>
          <w:szCs w:val="20"/>
          <w:u w:val="single"/>
          <w:lang w:val="ru-RU"/>
        </w:rPr>
        <w:t>-</w:t>
      </w:r>
      <w:r w:rsidR="00871C75" w:rsidRPr="00871C75">
        <w:rPr>
          <w:rFonts w:ascii="Times New Roman" w:hAnsi="Times New Roman"/>
          <w:sz w:val="20"/>
          <w:szCs w:val="20"/>
          <w:u w:val="single"/>
          <w:lang w:val="ru-RU"/>
        </w:rPr>
        <w:t>01</w:t>
      </w:r>
      <w:r w:rsidR="007E6D2F" w:rsidRPr="007E6D2F">
        <w:rPr>
          <w:rFonts w:ascii="Times New Roman" w:hAnsi="Times New Roman"/>
          <w:sz w:val="20"/>
          <w:szCs w:val="20"/>
          <w:u w:val="single"/>
          <w:lang w:val="ru-RU"/>
        </w:rPr>
        <w:t>-</w:t>
      </w:r>
      <w:r w:rsidR="00871C75" w:rsidRPr="00871C75">
        <w:rPr>
          <w:rFonts w:ascii="Times New Roman" w:hAnsi="Times New Roman"/>
          <w:sz w:val="20"/>
          <w:szCs w:val="20"/>
          <w:u w:val="single"/>
          <w:lang w:val="ru-RU"/>
        </w:rPr>
        <w:t>011843</w:t>
      </w:r>
      <w:r w:rsidR="007E6D2F" w:rsidRPr="007E6D2F">
        <w:rPr>
          <w:rFonts w:ascii="Times New Roman" w:hAnsi="Times New Roman"/>
          <w:sz w:val="20"/>
          <w:szCs w:val="20"/>
          <w:u w:val="single"/>
          <w:lang w:val="ru-RU"/>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303B82E9" w14:textId="77777777" w:rsidR="00871C75" w:rsidRPr="00871C75" w:rsidRDefault="002B72AC" w:rsidP="00871C75">
      <w:pPr>
        <w:pStyle w:val="afe"/>
        <w:keepNext/>
        <w:numPr>
          <w:ilvl w:val="0"/>
          <w:numId w:val="38"/>
        </w:numPr>
        <w:spacing w:before="0" w:after="0"/>
        <w:rPr>
          <w:rFonts w:ascii="Times New Roman" w:hAnsi="Times New Roman" w:cs="Times New Roman"/>
          <w:b/>
          <w:sz w:val="24"/>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871C75" w:rsidRPr="00871C75">
        <w:rPr>
          <w:rFonts w:ascii="Times New Roman" w:hAnsi="Times New Roman"/>
          <w:b/>
          <w:sz w:val="20"/>
          <w:szCs w:val="20"/>
          <w:lang w:val="ru-RU"/>
        </w:rPr>
        <w:t>193 000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w:t>
      </w:r>
      <w:r w:rsidR="004A33E4">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r w:rsidR="00871C75">
        <w:rPr>
          <w:sz w:val="24"/>
        </w:rPr>
        <w:t>,</w:t>
      </w:r>
      <w:r w:rsidR="00871C75" w:rsidRPr="008957C3">
        <w:t xml:space="preserve"> </w:t>
      </w:r>
      <w:r w:rsidR="00871C75" w:rsidRPr="00871C75">
        <w:rPr>
          <w:rFonts w:ascii="Times New Roman" w:hAnsi="Times New Roman" w:cs="Times New Roman"/>
          <w:sz w:val="24"/>
        </w:rPr>
        <w:t xml:space="preserve">відповідно до пункту 3 Доручення        в. о. Голови Держмитслужби від 22.12.2022 № 109-22/1-д «Про проведення інвентаризації відповідно до наказу Держмитслужби від 30.09.2022 № 104-АГ», та з метою дотримання вимог щодо достовірних даних бухгалтерського обліку та фінансової звітності необхідно організувати заходи із залученням суб’єкта оціночної діяльності щодо визначення ліквідаційної вартості основних засобів, зазначених у додатку 2 до Протоколу інвентаризаційної комісії від 12.12.2022. </w:t>
      </w:r>
    </w:p>
    <w:p w14:paraId="4E9336F8" w14:textId="4BD76987" w:rsidR="002B72AC" w:rsidRPr="00871C75" w:rsidRDefault="002B72AC" w:rsidP="002B72AC">
      <w:pPr>
        <w:spacing w:before="100" w:beforeAutospacing="1" w:after="100" w:afterAutospacing="1" w:line="240" w:lineRule="auto"/>
        <w:jc w:val="both"/>
        <w:rPr>
          <w:rFonts w:ascii="Times New Roman" w:eastAsia="Calibri" w:hAnsi="Times New Roman" w:cs="Times New Roman"/>
          <w:sz w:val="20"/>
          <w:szCs w:val="20"/>
        </w:rPr>
      </w:pPr>
    </w:p>
    <w:p w14:paraId="7C69B51D" w14:textId="0AEA5CC1" w:rsidR="00DC7F63" w:rsidRPr="00DC7F63" w:rsidRDefault="002B72AC" w:rsidP="00DC7F63">
      <w:pPr>
        <w:spacing w:after="120"/>
        <w:jc w:val="both"/>
        <w:rPr>
          <w:rFonts w:ascii="Times New Roman" w:hAnsi="Times New Roman" w:cs="Times New Roman"/>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00DC7F63" w:rsidRPr="00DC7F63">
        <w:rPr>
          <w:rFonts w:ascii="Times New Roman" w:hAnsi="Times New Roman" w:cs="Times New Roman"/>
          <w:color w:val="000000"/>
        </w:rPr>
        <w:t xml:space="preserve">до  </w:t>
      </w:r>
      <w:r w:rsidR="00871C75">
        <w:rPr>
          <w:rFonts w:ascii="Times New Roman" w:hAnsi="Times New Roman" w:cs="Times New Roman"/>
          <w:color w:val="000000"/>
          <w:lang w:val="en-US"/>
        </w:rPr>
        <w:t>22</w:t>
      </w:r>
      <w:r w:rsidR="00DC7F63" w:rsidRPr="00DC7F63">
        <w:rPr>
          <w:rFonts w:ascii="Times New Roman" w:hAnsi="Times New Roman" w:cs="Times New Roman"/>
          <w:color w:val="000000"/>
        </w:rPr>
        <w:t xml:space="preserve"> грудня 2023 року </w:t>
      </w:r>
    </w:p>
    <w:p w14:paraId="2E7D6EF9" w14:textId="13F01531" w:rsidR="002B72AC" w:rsidRDefault="002B72AC" w:rsidP="00DC7F63">
      <w:pPr>
        <w:spacing w:after="120"/>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00702453" w14:textId="77777777" w:rsidR="00871C75" w:rsidRPr="00871C75" w:rsidRDefault="00871C75" w:rsidP="00871C75">
      <w:pPr>
        <w:spacing w:before="480" w:after="480"/>
        <w:ind w:firstLine="360"/>
        <w:jc w:val="center"/>
        <w:rPr>
          <w:rFonts w:ascii="Times New Roman" w:hAnsi="Times New Roman" w:cs="Times New Roman"/>
          <w:b/>
          <w:bCs/>
          <w:color w:val="000000"/>
          <w:sz w:val="24"/>
          <w:szCs w:val="24"/>
        </w:rPr>
      </w:pPr>
      <w:r w:rsidRPr="00871C75">
        <w:rPr>
          <w:rFonts w:ascii="Times New Roman" w:hAnsi="Times New Roman" w:cs="Times New Roman"/>
          <w:b/>
          <w:bCs/>
          <w:color w:val="000000"/>
          <w:sz w:val="24"/>
          <w:szCs w:val="24"/>
        </w:rPr>
        <w:t>ТЕХНІЧНІ ВИМОГИ</w:t>
      </w:r>
    </w:p>
    <w:p w14:paraId="692E36CD" w14:textId="77777777" w:rsidR="00871C75" w:rsidRPr="00871C75" w:rsidRDefault="00871C75" w:rsidP="00871C75">
      <w:pPr>
        <w:spacing w:before="120" w:after="240"/>
        <w:ind w:firstLine="660"/>
        <w:jc w:val="center"/>
        <w:rPr>
          <w:rFonts w:ascii="Times New Roman" w:hAnsi="Times New Roman" w:cs="Times New Roman"/>
          <w:b/>
          <w:color w:val="000000"/>
          <w:sz w:val="24"/>
          <w:szCs w:val="24"/>
        </w:rPr>
      </w:pPr>
      <w:r w:rsidRPr="00871C75">
        <w:rPr>
          <w:rFonts w:ascii="Times New Roman" w:hAnsi="Times New Roman" w:cs="Times New Roman"/>
          <w:b/>
          <w:color w:val="000000"/>
          <w:sz w:val="24"/>
          <w:szCs w:val="24"/>
        </w:rPr>
        <w:t>(технічні, якісні, кількісні та інші вимоги щодо закупівлі</w:t>
      </w:r>
      <w:r w:rsidRPr="00871C75">
        <w:rPr>
          <w:rFonts w:ascii="Times New Roman" w:hAnsi="Times New Roman" w:cs="Times New Roman"/>
          <w:color w:val="000000"/>
          <w:sz w:val="24"/>
          <w:szCs w:val="24"/>
        </w:rPr>
        <w:t xml:space="preserve"> </w:t>
      </w:r>
      <w:r w:rsidRPr="00871C75">
        <w:rPr>
          <w:rFonts w:ascii="Times New Roman" w:hAnsi="Times New Roman" w:cs="Times New Roman"/>
          <w:b/>
          <w:color w:val="000000"/>
          <w:sz w:val="24"/>
          <w:szCs w:val="24"/>
        </w:rPr>
        <w:t>за предметом:</w:t>
      </w:r>
    </w:p>
    <w:p w14:paraId="2CF94E96" w14:textId="77777777" w:rsidR="00871C75" w:rsidRPr="00871C75" w:rsidRDefault="00871C75" w:rsidP="00871C75">
      <w:pPr>
        <w:spacing w:before="120" w:after="240"/>
        <w:ind w:firstLine="660"/>
        <w:jc w:val="center"/>
        <w:rPr>
          <w:rFonts w:ascii="Times New Roman" w:hAnsi="Times New Roman" w:cs="Times New Roman"/>
          <w:b/>
          <w:color w:val="000000"/>
          <w:sz w:val="24"/>
          <w:szCs w:val="24"/>
        </w:rPr>
      </w:pPr>
      <w:r w:rsidRPr="00871C75">
        <w:rPr>
          <w:rFonts w:ascii="Times New Roman" w:hAnsi="Times New Roman" w:cs="Times New Roman"/>
          <w:b/>
          <w:color w:val="000000"/>
          <w:sz w:val="24"/>
          <w:szCs w:val="24"/>
        </w:rPr>
        <w:t>Послуги на проведення експертної оцінки об’єктів нерухомого майна за кодом ДК 71310000-4</w:t>
      </w:r>
      <w:r w:rsidRPr="00871C75">
        <w:rPr>
          <w:rFonts w:ascii="Times New Roman" w:hAnsi="Times New Roman" w:cs="Times New Roman"/>
          <w:b/>
          <w:sz w:val="24"/>
          <w:szCs w:val="24"/>
        </w:rPr>
        <w:t xml:space="preserve"> – Консультаційні послуги у галузях інженерії та будівництва (Послуги </w:t>
      </w:r>
      <w:r w:rsidRPr="00871C75">
        <w:rPr>
          <w:rFonts w:ascii="Times New Roman" w:hAnsi="Times New Roman" w:cs="Times New Roman"/>
          <w:b/>
          <w:color w:val="000000"/>
          <w:sz w:val="24"/>
          <w:szCs w:val="24"/>
        </w:rPr>
        <w:t>на проведення експертної оцінки об’єктів нерухомого майна</w:t>
      </w:r>
      <w:r w:rsidRPr="00871C75">
        <w:rPr>
          <w:rFonts w:ascii="Times New Roman" w:hAnsi="Times New Roman" w:cs="Times New Roman"/>
          <w:b/>
          <w:sz w:val="24"/>
          <w:szCs w:val="24"/>
        </w:rPr>
        <w:t xml:space="preserve"> ДК 021:2015-</w:t>
      </w:r>
      <w:r w:rsidRPr="00871C75">
        <w:rPr>
          <w:rFonts w:ascii="Times New Roman" w:hAnsi="Times New Roman" w:cs="Times New Roman"/>
          <w:b/>
          <w:color w:val="000000"/>
          <w:sz w:val="24"/>
          <w:szCs w:val="24"/>
        </w:rPr>
        <w:t>71319000-7 (Експерті послуги)</w:t>
      </w:r>
    </w:p>
    <w:p w14:paraId="734895F3" w14:textId="77777777" w:rsidR="00871C75" w:rsidRPr="00871C75" w:rsidRDefault="00871C75" w:rsidP="00871C75">
      <w:pPr>
        <w:ind w:firstLine="770"/>
        <w:jc w:val="both"/>
        <w:rPr>
          <w:rFonts w:ascii="Times New Roman" w:hAnsi="Times New Roman" w:cs="Times New Roman"/>
          <w:b/>
          <w:color w:val="000000"/>
          <w:sz w:val="24"/>
          <w:szCs w:val="24"/>
        </w:rPr>
      </w:pPr>
    </w:p>
    <w:p w14:paraId="42AD73BA" w14:textId="77777777" w:rsidR="00871C75" w:rsidRPr="00871C75" w:rsidRDefault="00871C75" w:rsidP="00871C75">
      <w:pPr>
        <w:spacing w:line="280" w:lineRule="exact"/>
        <w:ind w:firstLine="720"/>
        <w:jc w:val="center"/>
        <w:rPr>
          <w:rFonts w:ascii="Times New Roman" w:hAnsi="Times New Roman" w:cs="Times New Roman"/>
          <w:sz w:val="24"/>
          <w:szCs w:val="24"/>
          <w:shd w:val="clear" w:color="auto" w:fill="FFFFFF"/>
        </w:rPr>
      </w:pPr>
      <w:r w:rsidRPr="00871C75">
        <w:rPr>
          <w:rFonts w:ascii="Times New Roman" w:hAnsi="Times New Roman" w:cs="Times New Roman"/>
          <w:sz w:val="24"/>
          <w:szCs w:val="24"/>
        </w:rPr>
        <w:t xml:space="preserve">Перелік об’єктів для визначення </w:t>
      </w:r>
      <w:r w:rsidRPr="00871C75">
        <w:rPr>
          <w:rFonts w:ascii="Times New Roman" w:hAnsi="Times New Roman" w:cs="Times New Roman"/>
          <w:sz w:val="24"/>
          <w:szCs w:val="24"/>
          <w:shd w:val="clear" w:color="auto" w:fill="FFFFFF"/>
        </w:rPr>
        <w:t>ліквідаційної вартості нерухомого майна</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030"/>
        <w:gridCol w:w="1451"/>
        <w:gridCol w:w="3511"/>
      </w:tblGrid>
      <w:tr w:rsidR="00871C75" w:rsidRPr="00871C75" w14:paraId="79AF3F45" w14:textId="77777777" w:rsidTr="002B13ED">
        <w:tc>
          <w:tcPr>
            <w:tcW w:w="506" w:type="dxa"/>
            <w:shd w:val="clear" w:color="auto" w:fill="auto"/>
          </w:tcPr>
          <w:p w14:paraId="133D8881"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з/п</w:t>
            </w:r>
          </w:p>
        </w:tc>
        <w:tc>
          <w:tcPr>
            <w:tcW w:w="4030" w:type="dxa"/>
            <w:shd w:val="clear" w:color="auto" w:fill="auto"/>
          </w:tcPr>
          <w:p w14:paraId="3AAA7FDA" w14:textId="77777777" w:rsidR="00871C75" w:rsidRPr="00871C75" w:rsidRDefault="00871C75" w:rsidP="002B13ED">
            <w:pPr>
              <w:spacing w:line="280" w:lineRule="exact"/>
              <w:jc w:val="center"/>
              <w:rPr>
                <w:rFonts w:ascii="Times New Roman" w:eastAsia="Times New Roman" w:hAnsi="Times New Roman" w:cs="Times New Roman"/>
                <w:sz w:val="24"/>
                <w:szCs w:val="24"/>
              </w:rPr>
            </w:pPr>
            <w:bookmarkStart w:id="0" w:name="_GoBack"/>
            <w:bookmarkEnd w:id="0"/>
            <w:r w:rsidRPr="00871C75">
              <w:rPr>
                <w:rFonts w:ascii="Times New Roman" w:eastAsia="Times New Roman" w:hAnsi="Times New Roman" w:cs="Times New Roman"/>
                <w:sz w:val="24"/>
                <w:szCs w:val="24"/>
              </w:rPr>
              <w:t>Найменування майна</w:t>
            </w:r>
          </w:p>
        </w:tc>
        <w:tc>
          <w:tcPr>
            <w:tcW w:w="1451" w:type="dxa"/>
            <w:shd w:val="clear" w:color="auto" w:fill="auto"/>
          </w:tcPr>
          <w:p w14:paraId="39F79082"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Загальна площа</w:t>
            </w:r>
          </w:p>
        </w:tc>
        <w:tc>
          <w:tcPr>
            <w:tcW w:w="3511" w:type="dxa"/>
            <w:shd w:val="clear" w:color="auto" w:fill="auto"/>
          </w:tcPr>
          <w:p w14:paraId="696F9B8C"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Адреса</w:t>
            </w:r>
          </w:p>
        </w:tc>
      </w:tr>
      <w:tr w:rsidR="00871C75" w:rsidRPr="00871C75" w14:paraId="72FA43B1" w14:textId="77777777" w:rsidTr="002B13ED">
        <w:tc>
          <w:tcPr>
            <w:tcW w:w="506" w:type="dxa"/>
            <w:shd w:val="clear" w:color="auto" w:fill="auto"/>
            <w:vAlign w:val="center"/>
          </w:tcPr>
          <w:p w14:paraId="531B2C1B"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w:t>
            </w:r>
          </w:p>
        </w:tc>
        <w:tc>
          <w:tcPr>
            <w:tcW w:w="4030" w:type="dxa"/>
            <w:shd w:val="clear" w:color="auto" w:fill="auto"/>
          </w:tcPr>
          <w:p w14:paraId="5477F354"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Металевий гараж </w:t>
            </w:r>
          </w:p>
        </w:tc>
        <w:tc>
          <w:tcPr>
            <w:tcW w:w="1451" w:type="dxa"/>
            <w:shd w:val="clear" w:color="auto" w:fill="auto"/>
            <w:vAlign w:val="center"/>
          </w:tcPr>
          <w:p w14:paraId="18BED075" w14:textId="77777777" w:rsidR="00871C75" w:rsidRPr="00871C75" w:rsidRDefault="00871C75" w:rsidP="00871C75">
            <w:pPr>
              <w:pStyle w:val="a7"/>
              <w:numPr>
                <w:ilvl w:val="0"/>
                <w:numId w:val="36"/>
              </w:numPr>
              <w:spacing w:line="280" w:lineRule="exact"/>
              <w:contextualSpacing/>
              <w:jc w:val="center"/>
              <w:rPr>
                <w:rFonts w:ascii="Times New Roman" w:hAnsi="Times New Roman"/>
                <w:szCs w:val="24"/>
              </w:rPr>
            </w:pPr>
          </w:p>
        </w:tc>
        <w:tc>
          <w:tcPr>
            <w:tcW w:w="3511" w:type="dxa"/>
            <w:shd w:val="clear" w:color="auto" w:fill="auto"/>
            <w:vAlign w:val="center"/>
          </w:tcPr>
          <w:p w14:paraId="6B4FE467"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м. Київ, вул. Дегтярівська, 11А</w:t>
            </w:r>
          </w:p>
        </w:tc>
      </w:tr>
      <w:tr w:rsidR="00871C75" w:rsidRPr="00871C75" w14:paraId="3979E650" w14:textId="77777777" w:rsidTr="002B13ED">
        <w:tc>
          <w:tcPr>
            <w:tcW w:w="506" w:type="dxa"/>
            <w:shd w:val="clear" w:color="auto" w:fill="auto"/>
            <w:vAlign w:val="center"/>
          </w:tcPr>
          <w:p w14:paraId="0603DC4F"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2</w:t>
            </w:r>
          </w:p>
        </w:tc>
        <w:tc>
          <w:tcPr>
            <w:tcW w:w="4030" w:type="dxa"/>
            <w:shd w:val="clear" w:color="auto" w:fill="auto"/>
          </w:tcPr>
          <w:p w14:paraId="5D2771AE" w14:textId="77777777" w:rsidR="00871C75" w:rsidRPr="00871C75" w:rsidRDefault="00871C75" w:rsidP="002B13ED">
            <w:pPr>
              <w:spacing w:line="280" w:lineRule="exact"/>
              <w:rPr>
                <w:rFonts w:ascii="Times New Roman" w:eastAsia="Times New Roman" w:hAnsi="Times New Roman" w:cs="Times New Roman"/>
                <w:sz w:val="24"/>
                <w:szCs w:val="24"/>
              </w:rPr>
            </w:pPr>
            <w:proofErr w:type="spellStart"/>
            <w:r w:rsidRPr="00871C75">
              <w:rPr>
                <w:rFonts w:ascii="Times New Roman" w:eastAsia="Times New Roman" w:hAnsi="Times New Roman" w:cs="Times New Roman"/>
                <w:sz w:val="24"/>
                <w:szCs w:val="24"/>
              </w:rPr>
              <w:t>Адмінкорпус</w:t>
            </w:r>
            <w:proofErr w:type="spellEnd"/>
            <w:r w:rsidRPr="00871C75">
              <w:rPr>
                <w:rFonts w:ascii="Times New Roman" w:eastAsia="Times New Roman" w:hAnsi="Times New Roman" w:cs="Times New Roman"/>
                <w:sz w:val="24"/>
                <w:szCs w:val="24"/>
              </w:rPr>
              <w:t xml:space="preserve"> </w:t>
            </w:r>
          </w:p>
        </w:tc>
        <w:tc>
          <w:tcPr>
            <w:tcW w:w="1451" w:type="dxa"/>
            <w:shd w:val="clear" w:color="auto" w:fill="auto"/>
            <w:vAlign w:val="center"/>
          </w:tcPr>
          <w:p w14:paraId="4D40F5C7"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1188 </w:t>
            </w:r>
            <w:proofErr w:type="spellStart"/>
            <w:r w:rsidRPr="00871C75">
              <w:rPr>
                <w:rFonts w:ascii="Times New Roman" w:eastAsia="Times New Roman" w:hAnsi="Times New Roman" w:cs="Times New Roman"/>
                <w:sz w:val="24"/>
                <w:szCs w:val="24"/>
              </w:rPr>
              <w:t>кв.м</w:t>
            </w:r>
            <w:proofErr w:type="spellEnd"/>
            <w:r w:rsidRPr="00871C75">
              <w:rPr>
                <w:rFonts w:ascii="Times New Roman" w:eastAsia="Times New Roman" w:hAnsi="Times New Roman" w:cs="Times New Roman"/>
                <w:sz w:val="24"/>
                <w:szCs w:val="24"/>
              </w:rPr>
              <w:t>.</w:t>
            </w:r>
          </w:p>
        </w:tc>
        <w:tc>
          <w:tcPr>
            <w:tcW w:w="3511" w:type="dxa"/>
            <w:shd w:val="clear" w:color="auto" w:fill="auto"/>
            <w:vAlign w:val="center"/>
          </w:tcPr>
          <w:p w14:paraId="5021BDC4"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м. Київ, вул. Дегтярівська, 11А</w:t>
            </w:r>
          </w:p>
        </w:tc>
      </w:tr>
      <w:tr w:rsidR="00871C75" w:rsidRPr="00871C75" w14:paraId="227132DC" w14:textId="77777777" w:rsidTr="002B13ED">
        <w:tc>
          <w:tcPr>
            <w:tcW w:w="506" w:type="dxa"/>
            <w:shd w:val="clear" w:color="auto" w:fill="auto"/>
            <w:vAlign w:val="center"/>
          </w:tcPr>
          <w:p w14:paraId="14856A4D"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3</w:t>
            </w:r>
          </w:p>
        </w:tc>
        <w:tc>
          <w:tcPr>
            <w:tcW w:w="4030" w:type="dxa"/>
            <w:shd w:val="clear" w:color="auto" w:fill="auto"/>
          </w:tcPr>
          <w:p w14:paraId="5D4BBA47"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Огорожа та благоустрій </w:t>
            </w:r>
          </w:p>
        </w:tc>
        <w:tc>
          <w:tcPr>
            <w:tcW w:w="1451" w:type="dxa"/>
            <w:shd w:val="clear" w:color="auto" w:fill="auto"/>
            <w:vAlign w:val="center"/>
          </w:tcPr>
          <w:p w14:paraId="3D361960"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60,7 </w:t>
            </w:r>
            <w:proofErr w:type="spellStart"/>
            <w:r w:rsidRPr="00871C75">
              <w:rPr>
                <w:rFonts w:ascii="Times New Roman" w:eastAsia="Times New Roman" w:hAnsi="Times New Roman" w:cs="Times New Roman"/>
                <w:sz w:val="24"/>
                <w:szCs w:val="24"/>
              </w:rPr>
              <w:t>п.м</w:t>
            </w:r>
            <w:proofErr w:type="spellEnd"/>
            <w:r w:rsidRPr="00871C75">
              <w:rPr>
                <w:rFonts w:ascii="Times New Roman" w:eastAsia="Times New Roman" w:hAnsi="Times New Roman" w:cs="Times New Roman"/>
                <w:sz w:val="24"/>
                <w:szCs w:val="24"/>
              </w:rPr>
              <w:t>.</w:t>
            </w:r>
          </w:p>
        </w:tc>
        <w:tc>
          <w:tcPr>
            <w:tcW w:w="3511" w:type="dxa"/>
            <w:shd w:val="clear" w:color="auto" w:fill="auto"/>
            <w:vAlign w:val="center"/>
          </w:tcPr>
          <w:p w14:paraId="5F783AB6"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м. Київ. вул. Саксаганського, 66</w:t>
            </w:r>
          </w:p>
        </w:tc>
      </w:tr>
      <w:tr w:rsidR="00871C75" w:rsidRPr="00871C75" w14:paraId="5D6EAD96" w14:textId="77777777" w:rsidTr="002B13ED">
        <w:tc>
          <w:tcPr>
            <w:tcW w:w="506" w:type="dxa"/>
            <w:shd w:val="clear" w:color="auto" w:fill="auto"/>
            <w:vAlign w:val="center"/>
          </w:tcPr>
          <w:p w14:paraId="6BB8D41F"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4</w:t>
            </w:r>
          </w:p>
        </w:tc>
        <w:tc>
          <w:tcPr>
            <w:tcW w:w="4030" w:type="dxa"/>
            <w:shd w:val="clear" w:color="auto" w:fill="auto"/>
          </w:tcPr>
          <w:p w14:paraId="2CAE9DED"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Огорожа </w:t>
            </w:r>
          </w:p>
        </w:tc>
        <w:tc>
          <w:tcPr>
            <w:tcW w:w="1451" w:type="dxa"/>
            <w:shd w:val="clear" w:color="auto" w:fill="auto"/>
            <w:vAlign w:val="center"/>
          </w:tcPr>
          <w:p w14:paraId="41ED5FE5"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450 </w:t>
            </w:r>
            <w:proofErr w:type="spellStart"/>
            <w:r w:rsidRPr="00871C75">
              <w:rPr>
                <w:rFonts w:ascii="Times New Roman" w:eastAsia="Times New Roman" w:hAnsi="Times New Roman" w:cs="Times New Roman"/>
                <w:sz w:val="24"/>
                <w:szCs w:val="24"/>
              </w:rPr>
              <w:t>п.м</w:t>
            </w:r>
            <w:proofErr w:type="spellEnd"/>
            <w:r w:rsidRPr="00871C75">
              <w:rPr>
                <w:rFonts w:ascii="Times New Roman" w:eastAsia="Times New Roman" w:hAnsi="Times New Roman" w:cs="Times New Roman"/>
                <w:sz w:val="24"/>
                <w:szCs w:val="24"/>
              </w:rPr>
              <w:t>.</w:t>
            </w:r>
          </w:p>
        </w:tc>
        <w:tc>
          <w:tcPr>
            <w:tcW w:w="3511" w:type="dxa"/>
            <w:shd w:val="clear" w:color="auto" w:fill="auto"/>
            <w:vAlign w:val="center"/>
          </w:tcPr>
          <w:p w14:paraId="4A84A304"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м. Київ, вул. Дегтярівська, 11А</w:t>
            </w:r>
          </w:p>
        </w:tc>
      </w:tr>
      <w:tr w:rsidR="00871C75" w:rsidRPr="00871C75" w14:paraId="4BB29A36" w14:textId="77777777" w:rsidTr="002B13ED">
        <w:tc>
          <w:tcPr>
            <w:tcW w:w="506" w:type="dxa"/>
            <w:shd w:val="clear" w:color="auto" w:fill="auto"/>
            <w:vAlign w:val="center"/>
          </w:tcPr>
          <w:p w14:paraId="7A064B39"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5</w:t>
            </w:r>
          </w:p>
        </w:tc>
        <w:tc>
          <w:tcPr>
            <w:tcW w:w="4030" w:type="dxa"/>
            <w:shd w:val="clear" w:color="auto" w:fill="auto"/>
          </w:tcPr>
          <w:p w14:paraId="5E80D3F3"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Блок-пункт заправки</w:t>
            </w:r>
          </w:p>
        </w:tc>
        <w:tc>
          <w:tcPr>
            <w:tcW w:w="1451" w:type="dxa"/>
            <w:shd w:val="clear" w:color="auto" w:fill="auto"/>
            <w:vAlign w:val="center"/>
          </w:tcPr>
          <w:p w14:paraId="0F4FF011"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w:t>
            </w:r>
          </w:p>
        </w:tc>
        <w:tc>
          <w:tcPr>
            <w:tcW w:w="3511" w:type="dxa"/>
            <w:shd w:val="clear" w:color="auto" w:fill="auto"/>
            <w:vAlign w:val="center"/>
          </w:tcPr>
          <w:p w14:paraId="08B9670A"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м. Київ, вул. Дегтярівська, 11А</w:t>
            </w:r>
          </w:p>
        </w:tc>
      </w:tr>
      <w:tr w:rsidR="00871C75" w:rsidRPr="00871C75" w14:paraId="7C174DCA" w14:textId="77777777" w:rsidTr="002B13ED">
        <w:tc>
          <w:tcPr>
            <w:tcW w:w="506" w:type="dxa"/>
            <w:shd w:val="clear" w:color="auto" w:fill="auto"/>
            <w:vAlign w:val="center"/>
          </w:tcPr>
          <w:p w14:paraId="1DD2F092"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6</w:t>
            </w:r>
          </w:p>
        </w:tc>
        <w:tc>
          <w:tcPr>
            <w:tcW w:w="4030" w:type="dxa"/>
            <w:shd w:val="clear" w:color="auto" w:fill="auto"/>
          </w:tcPr>
          <w:p w14:paraId="4063DA8B"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Ворота промислові 3200х3400  </w:t>
            </w:r>
          </w:p>
        </w:tc>
        <w:tc>
          <w:tcPr>
            <w:tcW w:w="1451" w:type="dxa"/>
            <w:shd w:val="clear" w:color="auto" w:fill="auto"/>
            <w:vAlign w:val="center"/>
          </w:tcPr>
          <w:p w14:paraId="51C3E79A"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6398E85E"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м. Київ, вул. Дегтярівська, 11Г</w:t>
            </w:r>
          </w:p>
        </w:tc>
      </w:tr>
      <w:tr w:rsidR="00871C75" w:rsidRPr="00871C75" w14:paraId="6678F434" w14:textId="77777777" w:rsidTr="002B13ED">
        <w:tc>
          <w:tcPr>
            <w:tcW w:w="506" w:type="dxa"/>
            <w:shd w:val="clear" w:color="auto" w:fill="auto"/>
            <w:vAlign w:val="center"/>
          </w:tcPr>
          <w:p w14:paraId="251030F3"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7</w:t>
            </w:r>
          </w:p>
        </w:tc>
        <w:tc>
          <w:tcPr>
            <w:tcW w:w="4030" w:type="dxa"/>
            <w:shd w:val="clear" w:color="auto" w:fill="auto"/>
          </w:tcPr>
          <w:p w14:paraId="7932A9C6"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Експлуатаційно-господарський корпус </w:t>
            </w:r>
          </w:p>
        </w:tc>
        <w:tc>
          <w:tcPr>
            <w:tcW w:w="1451" w:type="dxa"/>
            <w:shd w:val="clear" w:color="auto" w:fill="auto"/>
            <w:vAlign w:val="center"/>
          </w:tcPr>
          <w:p w14:paraId="27A8066B"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1770,0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740B0984"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м. Київ, вул. Дегтярівська, 11Г</w:t>
            </w:r>
          </w:p>
        </w:tc>
      </w:tr>
      <w:tr w:rsidR="00871C75" w:rsidRPr="00871C75" w14:paraId="1A8329EF" w14:textId="77777777" w:rsidTr="002B13ED">
        <w:tc>
          <w:tcPr>
            <w:tcW w:w="506" w:type="dxa"/>
            <w:shd w:val="clear" w:color="auto" w:fill="auto"/>
            <w:vAlign w:val="center"/>
          </w:tcPr>
          <w:p w14:paraId="493D546B" w14:textId="77777777" w:rsidR="00871C75" w:rsidRPr="00871C75" w:rsidRDefault="00871C75" w:rsidP="002B13ED">
            <w:pPr>
              <w:spacing w:line="280" w:lineRule="exact"/>
              <w:jc w:val="center"/>
              <w:rPr>
                <w:rFonts w:ascii="Times New Roman" w:eastAsia="Times New Roman" w:hAnsi="Times New Roman" w:cs="Times New Roman"/>
                <w:sz w:val="24"/>
                <w:szCs w:val="24"/>
                <w:lang w:val="en-US"/>
              </w:rPr>
            </w:pPr>
            <w:r w:rsidRPr="00871C75">
              <w:rPr>
                <w:rFonts w:ascii="Times New Roman" w:eastAsia="Times New Roman" w:hAnsi="Times New Roman" w:cs="Times New Roman"/>
                <w:sz w:val="24"/>
                <w:szCs w:val="24"/>
                <w:lang w:val="en-US"/>
              </w:rPr>
              <w:t>8</w:t>
            </w:r>
          </w:p>
        </w:tc>
        <w:tc>
          <w:tcPr>
            <w:tcW w:w="4030" w:type="dxa"/>
            <w:shd w:val="clear" w:color="auto" w:fill="auto"/>
          </w:tcPr>
          <w:p w14:paraId="50DC6B6E"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І частина будівлі №2 </w:t>
            </w:r>
          </w:p>
        </w:tc>
        <w:tc>
          <w:tcPr>
            <w:tcW w:w="1451" w:type="dxa"/>
            <w:shd w:val="clear" w:color="auto" w:fill="auto"/>
            <w:vAlign w:val="center"/>
          </w:tcPr>
          <w:p w14:paraId="33123DA5"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4401,4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5DD39EE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м. Київ, вул. Дегтярівська, 11Г</w:t>
            </w:r>
          </w:p>
        </w:tc>
      </w:tr>
      <w:tr w:rsidR="00871C75" w:rsidRPr="00871C75" w14:paraId="7D737A25" w14:textId="77777777" w:rsidTr="002B13ED">
        <w:tc>
          <w:tcPr>
            <w:tcW w:w="506" w:type="dxa"/>
            <w:shd w:val="clear" w:color="auto" w:fill="auto"/>
            <w:vAlign w:val="center"/>
          </w:tcPr>
          <w:p w14:paraId="34EC6388" w14:textId="77777777" w:rsidR="00871C75" w:rsidRPr="00871C75" w:rsidRDefault="00871C75" w:rsidP="002B13ED">
            <w:pPr>
              <w:spacing w:line="280" w:lineRule="exact"/>
              <w:jc w:val="center"/>
              <w:rPr>
                <w:rFonts w:ascii="Times New Roman" w:eastAsia="Times New Roman" w:hAnsi="Times New Roman" w:cs="Times New Roman"/>
                <w:sz w:val="24"/>
                <w:szCs w:val="24"/>
                <w:lang w:val="en-US"/>
              </w:rPr>
            </w:pPr>
            <w:r w:rsidRPr="00871C75">
              <w:rPr>
                <w:rFonts w:ascii="Times New Roman" w:eastAsia="Times New Roman" w:hAnsi="Times New Roman" w:cs="Times New Roman"/>
                <w:sz w:val="24"/>
                <w:szCs w:val="24"/>
                <w:lang w:val="en-US"/>
              </w:rPr>
              <w:t>9</w:t>
            </w:r>
          </w:p>
        </w:tc>
        <w:tc>
          <w:tcPr>
            <w:tcW w:w="4030" w:type="dxa"/>
            <w:shd w:val="clear" w:color="auto" w:fill="auto"/>
          </w:tcPr>
          <w:p w14:paraId="6BB32A9A"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Мийка </w:t>
            </w:r>
          </w:p>
        </w:tc>
        <w:tc>
          <w:tcPr>
            <w:tcW w:w="1451" w:type="dxa"/>
            <w:shd w:val="clear" w:color="auto" w:fill="auto"/>
            <w:vAlign w:val="center"/>
          </w:tcPr>
          <w:p w14:paraId="537639C0"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90,0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7992527D"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м. Київ, вул. Дегтярівська, 11А</w:t>
            </w:r>
          </w:p>
        </w:tc>
      </w:tr>
      <w:tr w:rsidR="00871C75" w:rsidRPr="00871C75" w14:paraId="5099B559" w14:textId="77777777" w:rsidTr="002B13ED">
        <w:tc>
          <w:tcPr>
            <w:tcW w:w="506" w:type="dxa"/>
            <w:shd w:val="clear" w:color="auto" w:fill="auto"/>
            <w:vAlign w:val="center"/>
          </w:tcPr>
          <w:p w14:paraId="5221DDA5"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10</w:t>
            </w:r>
          </w:p>
        </w:tc>
        <w:tc>
          <w:tcPr>
            <w:tcW w:w="4030" w:type="dxa"/>
            <w:shd w:val="clear" w:color="auto" w:fill="auto"/>
          </w:tcPr>
          <w:p w14:paraId="7840D4AF"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Склад літ. "О" </w:t>
            </w:r>
          </w:p>
        </w:tc>
        <w:tc>
          <w:tcPr>
            <w:tcW w:w="1451" w:type="dxa"/>
            <w:shd w:val="clear" w:color="auto" w:fill="auto"/>
            <w:vAlign w:val="center"/>
          </w:tcPr>
          <w:p w14:paraId="6A2C444B"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345,3 </w:t>
            </w:r>
            <w:proofErr w:type="spellStart"/>
            <w:r w:rsidRPr="00871C75">
              <w:rPr>
                <w:rFonts w:ascii="Times New Roman" w:eastAsia="Times New Roman" w:hAnsi="Times New Roman" w:cs="Times New Roman"/>
                <w:sz w:val="24"/>
                <w:szCs w:val="24"/>
              </w:rPr>
              <w:t>кв</w:t>
            </w:r>
            <w:proofErr w:type="spellEnd"/>
            <w:r w:rsidRPr="00871C75">
              <w:rPr>
                <w:rFonts w:ascii="Times New Roman" w:eastAsia="Times New Roman" w:hAnsi="Times New Roman" w:cs="Times New Roman"/>
                <w:sz w:val="24"/>
                <w:szCs w:val="24"/>
              </w:rPr>
              <w:t>. м.</w:t>
            </w:r>
          </w:p>
        </w:tc>
        <w:tc>
          <w:tcPr>
            <w:tcW w:w="3511" w:type="dxa"/>
            <w:shd w:val="clear" w:color="auto" w:fill="auto"/>
            <w:vAlign w:val="center"/>
          </w:tcPr>
          <w:p w14:paraId="3F44E1DD"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719EEC59" w14:textId="77777777" w:rsidTr="002B13ED">
        <w:tc>
          <w:tcPr>
            <w:tcW w:w="506" w:type="dxa"/>
            <w:shd w:val="clear" w:color="auto" w:fill="auto"/>
            <w:vAlign w:val="center"/>
          </w:tcPr>
          <w:p w14:paraId="33CEFDE9"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11</w:t>
            </w:r>
          </w:p>
        </w:tc>
        <w:tc>
          <w:tcPr>
            <w:tcW w:w="4030" w:type="dxa"/>
            <w:shd w:val="clear" w:color="auto" w:fill="auto"/>
          </w:tcPr>
          <w:p w14:paraId="26EFA0AC"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Ємність Р-10 пожежного водоймища (ємність бака 50 </w:t>
            </w:r>
            <w:proofErr w:type="spellStart"/>
            <w:r w:rsidRPr="00871C75">
              <w:rPr>
                <w:rFonts w:ascii="Times New Roman" w:eastAsia="Times New Roman" w:hAnsi="Times New Roman" w:cs="Times New Roman"/>
                <w:sz w:val="24"/>
                <w:szCs w:val="24"/>
              </w:rPr>
              <w:t>куб.м</w:t>
            </w:r>
            <w:proofErr w:type="spellEnd"/>
            <w:r w:rsidRPr="00871C75">
              <w:rPr>
                <w:rFonts w:ascii="Times New Roman" w:eastAsia="Times New Roman" w:hAnsi="Times New Roman" w:cs="Times New Roman"/>
                <w:sz w:val="24"/>
                <w:szCs w:val="24"/>
              </w:rPr>
              <w:t>.)</w:t>
            </w:r>
          </w:p>
        </w:tc>
        <w:tc>
          <w:tcPr>
            <w:tcW w:w="1451" w:type="dxa"/>
            <w:shd w:val="clear" w:color="auto" w:fill="auto"/>
            <w:vAlign w:val="center"/>
          </w:tcPr>
          <w:p w14:paraId="51F3B5D5"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w:t>
            </w:r>
          </w:p>
        </w:tc>
        <w:tc>
          <w:tcPr>
            <w:tcW w:w="3511" w:type="dxa"/>
            <w:shd w:val="clear" w:color="auto" w:fill="auto"/>
            <w:vAlign w:val="center"/>
          </w:tcPr>
          <w:p w14:paraId="0D9393EF"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217F49D2" w14:textId="77777777" w:rsidTr="002B13ED">
        <w:tc>
          <w:tcPr>
            <w:tcW w:w="506" w:type="dxa"/>
            <w:shd w:val="clear" w:color="auto" w:fill="auto"/>
            <w:vAlign w:val="center"/>
          </w:tcPr>
          <w:p w14:paraId="78DDF8D5"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12</w:t>
            </w:r>
          </w:p>
        </w:tc>
        <w:tc>
          <w:tcPr>
            <w:tcW w:w="4030" w:type="dxa"/>
            <w:shd w:val="clear" w:color="auto" w:fill="auto"/>
          </w:tcPr>
          <w:p w14:paraId="769FEFCC"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Адміністративний будинок літ. "А" </w:t>
            </w:r>
          </w:p>
        </w:tc>
        <w:tc>
          <w:tcPr>
            <w:tcW w:w="1451" w:type="dxa"/>
            <w:shd w:val="clear" w:color="auto" w:fill="auto"/>
            <w:vAlign w:val="center"/>
          </w:tcPr>
          <w:p w14:paraId="70BF5F04"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448,6 </w:t>
            </w:r>
            <w:proofErr w:type="spellStart"/>
            <w:r w:rsidRPr="00871C75">
              <w:rPr>
                <w:rFonts w:ascii="Times New Roman" w:eastAsia="Times New Roman" w:hAnsi="Times New Roman" w:cs="Times New Roman"/>
                <w:sz w:val="24"/>
                <w:szCs w:val="24"/>
              </w:rPr>
              <w:t>кв</w:t>
            </w:r>
            <w:proofErr w:type="spellEnd"/>
            <w:r w:rsidRPr="00871C75">
              <w:rPr>
                <w:rFonts w:ascii="Times New Roman" w:eastAsia="Times New Roman" w:hAnsi="Times New Roman" w:cs="Times New Roman"/>
                <w:sz w:val="24"/>
                <w:szCs w:val="24"/>
              </w:rPr>
              <w:t>. м.</w:t>
            </w:r>
          </w:p>
        </w:tc>
        <w:tc>
          <w:tcPr>
            <w:tcW w:w="3511" w:type="dxa"/>
            <w:shd w:val="clear" w:color="auto" w:fill="auto"/>
            <w:vAlign w:val="center"/>
          </w:tcPr>
          <w:p w14:paraId="78AD0AAB"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4ADE49DB" w14:textId="77777777" w:rsidTr="002B13ED">
        <w:tc>
          <w:tcPr>
            <w:tcW w:w="506" w:type="dxa"/>
            <w:shd w:val="clear" w:color="auto" w:fill="auto"/>
            <w:vAlign w:val="center"/>
          </w:tcPr>
          <w:p w14:paraId="2B3FAEF8"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13</w:t>
            </w:r>
          </w:p>
        </w:tc>
        <w:tc>
          <w:tcPr>
            <w:tcW w:w="4030" w:type="dxa"/>
            <w:shd w:val="clear" w:color="auto" w:fill="auto"/>
          </w:tcPr>
          <w:p w14:paraId="452823FB"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Службовий житловий будинок літ. "2Б" </w:t>
            </w:r>
          </w:p>
        </w:tc>
        <w:tc>
          <w:tcPr>
            <w:tcW w:w="1451" w:type="dxa"/>
            <w:shd w:val="clear" w:color="auto" w:fill="auto"/>
            <w:vAlign w:val="center"/>
          </w:tcPr>
          <w:p w14:paraId="2FF91D64"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132,9 </w:t>
            </w:r>
            <w:proofErr w:type="spellStart"/>
            <w:r w:rsidRPr="00871C75">
              <w:rPr>
                <w:rFonts w:ascii="Times New Roman" w:eastAsia="Times New Roman" w:hAnsi="Times New Roman" w:cs="Times New Roman"/>
                <w:sz w:val="24"/>
                <w:szCs w:val="24"/>
              </w:rPr>
              <w:t>кв</w:t>
            </w:r>
            <w:proofErr w:type="spellEnd"/>
            <w:r w:rsidRPr="00871C75">
              <w:rPr>
                <w:rFonts w:ascii="Times New Roman" w:eastAsia="Times New Roman" w:hAnsi="Times New Roman" w:cs="Times New Roman"/>
                <w:sz w:val="24"/>
                <w:szCs w:val="24"/>
              </w:rPr>
              <w:t>. м.</w:t>
            </w:r>
          </w:p>
        </w:tc>
        <w:tc>
          <w:tcPr>
            <w:tcW w:w="3511" w:type="dxa"/>
            <w:shd w:val="clear" w:color="auto" w:fill="auto"/>
            <w:vAlign w:val="center"/>
          </w:tcPr>
          <w:p w14:paraId="02E94A91"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04810739" w14:textId="77777777" w:rsidTr="002B13ED">
        <w:tc>
          <w:tcPr>
            <w:tcW w:w="506" w:type="dxa"/>
            <w:shd w:val="clear" w:color="auto" w:fill="auto"/>
            <w:vAlign w:val="center"/>
          </w:tcPr>
          <w:p w14:paraId="4CC444B4"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14</w:t>
            </w:r>
          </w:p>
        </w:tc>
        <w:tc>
          <w:tcPr>
            <w:tcW w:w="4030" w:type="dxa"/>
            <w:shd w:val="clear" w:color="auto" w:fill="auto"/>
          </w:tcPr>
          <w:p w14:paraId="208C9EAF" w14:textId="77777777" w:rsidR="00871C75" w:rsidRPr="00871C75" w:rsidRDefault="00871C75" w:rsidP="002B13ED">
            <w:pPr>
              <w:spacing w:line="280" w:lineRule="exact"/>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Убиральня літ. "Є" </w:t>
            </w:r>
          </w:p>
        </w:tc>
        <w:tc>
          <w:tcPr>
            <w:tcW w:w="1451" w:type="dxa"/>
            <w:shd w:val="clear" w:color="auto" w:fill="auto"/>
            <w:vAlign w:val="center"/>
          </w:tcPr>
          <w:p w14:paraId="4DB06BA0"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71,2 </w:t>
            </w:r>
            <w:proofErr w:type="spellStart"/>
            <w:r w:rsidRPr="00871C75">
              <w:rPr>
                <w:rFonts w:ascii="Times New Roman" w:eastAsia="Times New Roman" w:hAnsi="Times New Roman" w:cs="Times New Roman"/>
                <w:sz w:val="24"/>
                <w:szCs w:val="24"/>
              </w:rPr>
              <w:t>кв</w:t>
            </w:r>
            <w:proofErr w:type="spellEnd"/>
            <w:r w:rsidRPr="00871C75">
              <w:rPr>
                <w:rFonts w:ascii="Times New Roman" w:eastAsia="Times New Roman" w:hAnsi="Times New Roman" w:cs="Times New Roman"/>
                <w:sz w:val="24"/>
                <w:szCs w:val="24"/>
              </w:rPr>
              <w:t>. м.</w:t>
            </w:r>
          </w:p>
        </w:tc>
        <w:tc>
          <w:tcPr>
            <w:tcW w:w="3511" w:type="dxa"/>
            <w:shd w:val="clear" w:color="auto" w:fill="auto"/>
            <w:vAlign w:val="center"/>
          </w:tcPr>
          <w:p w14:paraId="041DC0FB"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6A9D8F3F" w14:textId="77777777" w:rsidTr="002B13ED">
        <w:tc>
          <w:tcPr>
            <w:tcW w:w="506" w:type="dxa"/>
            <w:shd w:val="clear" w:color="auto" w:fill="auto"/>
            <w:vAlign w:val="center"/>
          </w:tcPr>
          <w:p w14:paraId="64FEC55C"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15</w:t>
            </w:r>
          </w:p>
        </w:tc>
        <w:tc>
          <w:tcPr>
            <w:tcW w:w="4030" w:type="dxa"/>
            <w:shd w:val="clear" w:color="auto" w:fill="auto"/>
          </w:tcPr>
          <w:p w14:paraId="1CE64858"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proofErr w:type="spellStart"/>
            <w:r w:rsidRPr="00871C75">
              <w:rPr>
                <w:rFonts w:ascii="Times New Roman" w:eastAsia="Times New Roman" w:hAnsi="Times New Roman" w:cs="Times New Roman"/>
                <w:sz w:val="24"/>
                <w:szCs w:val="24"/>
                <w:shd w:val="clear" w:color="auto" w:fill="FFFFFF"/>
              </w:rPr>
              <w:t>Автоестакада</w:t>
            </w:r>
            <w:proofErr w:type="spellEnd"/>
            <w:r w:rsidRPr="00871C75">
              <w:rPr>
                <w:rFonts w:ascii="Times New Roman" w:eastAsia="Times New Roman" w:hAnsi="Times New Roman" w:cs="Times New Roman"/>
                <w:sz w:val="24"/>
                <w:szCs w:val="24"/>
                <w:shd w:val="clear" w:color="auto" w:fill="FFFFFF"/>
              </w:rPr>
              <w:t xml:space="preserve"> </w:t>
            </w:r>
          </w:p>
        </w:tc>
        <w:tc>
          <w:tcPr>
            <w:tcW w:w="1451" w:type="dxa"/>
            <w:shd w:val="clear" w:color="auto" w:fill="auto"/>
            <w:vAlign w:val="center"/>
          </w:tcPr>
          <w:p w14:paraId="49721D5A"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39DCE72D"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2075C7EC" w14:textId="77777777" w:rsidTr="002B13ED">
        <w:tc>
          <w:tcPr>
            <w:tcW w:w="506" w:type="dxa"/>
            <w:shd w:val="clear" w:color="auto" w:fill="auto"/>
            <w:vAlign w:val="center"/>
          </w:tcPr>
          <w:p w14:paraId="398D654A"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16</w:t>
            </w:r>
          </w:p>
        </w:tc>
        <w:tc>
          <w:tcPr>
            <w:tcW w:w="4030" w:type="dxa"/>
            <w:shd w:val="clear" w:color="auto" w:fill="auto"/>
          </w:tcPr>
          <w:p w14:paraId="007395F6"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Їдальня літ. "Ц" </w:t>
            </w:r>
          </w:p>
        </w:tc>
        <w:tc>
          <w:tcPr>
            <w:tcW w:w="1451" w:type="dxa"/>
            <w:shd w:val="clear" w:color="auto" w:fill="auto"/>
            <w:vAlign w:val="center"/>
          </w:tcPr>
          <w:p w14:paraId="6D4CBC2E"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494,7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33DC2B4C"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0413E31C" w14:textId="77777777" w:rsidTr="002B13ED">
        <w:tc>
          <w:tcPr>
            <w:tcW w:w="506" w:type="dxa"/>
            <w:shd w:val="clear" w:color="auto" w:fill="auto"/>
            <w:vAlign w:val="center"/>
          </w:tcPr>
          <w:p w14:paraId="61835CE2" w14:textId="77777777" w:rsidR="00871C75" w:rsidRPr="00871C75" w:rsidRDefault="00871C75" w:rsidP="002B13ED">
            <w:pPr>
              <w:spacing w:line="280" w:lineRule="exact"/>
              <w:jc w:val="center"/>
              <w:rPr>
                <w:rFonts w:ascii="Times New Roman" w:eastAsia="Times New Roman" w:hAnsi="Times New Roman" w:cs="Times New Roman"/>
                <w:sz w:val="24"/>
                <w:szCs w:val="24"/>
              </w:rPr>
            </w:pPr>
            <w:r w:rsidRPr="00871C75">
              <w:rPr>
                <w:rFonts w:ascii="Times New Roman" w:eastAsia="Times New Roman" w:hAnsi="Times New Roman" w:cs="Times New Roman"/>
                <w:sz w:val="24"/>
                <w:szCs w:val="24"/>
              </w:rPr>
              <w:t>17</w:t>
            </w:r>
          </w:p>
        </w:tc>
        <w:tc>
          <w:tcPr>
            <w:tcW w:w="4030" w:type="dxa"/>
            <w:shd w:val="clear" w:color="auto" w:fill="auto"/>
          </w:tcPr>
          <w:p w14:paraId="078F3421"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Залізобетонна огорожа </w:t>
            </w:r>
          </w:p>
        </w:tc>
        <w:tc>
          <w:tcPr>
            <w:tcW w:w="1451" w:type="dxa"/>
            <w:shd w:val="clear" w:color="auto" w:fill="auto"/>
            <w:vAlign w:val="center"/>
          </w:tcPr>
          <w:p w14:paraId="1BCF8A4A"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1412 </w:t>
            </w:r>
            <w:proofErr w:type="spellStart"/>
            <w:r w:rsidRPr="00871C75">
              <w:rPr>
                <w:rFonts w:ascii="Times New Roman" w:eastAsia="Times New Roman" w:hAnsi="Times New Roman" w:cs="Times New Roman"/>
                <w:sz w:val="24"/>
                <w:szCs w:val="24"/>
                <w:shd w:val="clear" w:color="auto" w:fill="FFFFFF"/>
              </w:rPr>
              <w:t>п.м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03F90A7C"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318E9B53" w14:textId="77777777" w:rsidTr="002B13ED">
        <w:tc>
          <w:tcPr>
            <w:tcW w:w="506" w:type="dxa"/>
            <w:shd w:val="clear" w:color="auto" w:fill="auto"/>
            <w:vAlign w:val="center"/>
          </w:tcPr>
          <w:p w14:paraId="09FC5529"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18</w:t>
            </w:r>
          </w:p>
        </w:tc>
        <w:tc>
          <w:tcPr>
            <w:tcW w:w="4030" w:type="dxa"/>
            <w:shd w:val="clear" w:color="auto" w:fill="auto"/>
          </w:tcPr>
          <w:p w14:paraId="305BAAE9"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Автозаправка літ. "С" </w:t>
            </w:r>
          </w:p>
        </w:tc>
        <w:tc>
          <w:tcPr>
            <w:tcW w:w="1451" w:type="dxa"/>
            <w:shd w:val="clear" w:color="auto" w:fill="auto"/>
            <w:vAlign w:val="center"/>
          </w:tcPr>
          <w:p w14:paraId="47B87C25"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0B7F669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51204230" w14:textId="77777777" w:rsidTr="002B13ED">
        <w:tc>
          <w:tcPr>
            <w:tcW w:w="506" w:type="dxa"/>
            <w:shd w:val="clear" w:color="auto" w:fill="auto"/>
            <w:vAlign w:val="center"/>
          </w:tcPr>
          <w:p w14:paraId="46E9800A"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lastRenderedPageBreak/>
              <w:t>19</w:t>
            </w:r>
          </w:p>
        </w:tc>
        <w:tc>
          <w:tcPr>
            <w:tcW w:w="4030" w:type="dxa"/>
            <w:shd w:val="clear" w:color="auto" w:fill="auto"/>
          </w:tcPr>
          <w:p w14:paraId="06E1E504"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Ємність Р-10 пожежного водоймища (ємність бака 50 </w:t>
            </w:r>
            <w:proofErr w:type="spellStart"/>
            <w:r w:rsidRPr="00871C75">
              <w:rPr>
                <w:rFonts w:ascii="Times New Roman" w:eastAsia="Times New Roman" w:hAnsi="Times New Roman" w:cs="Times New Roman"/>
                <w:sz w:val="24"/>
                <w:szCs w:val="24"/>
                <w:shd w:val="clear" w:color="auto" w:fill="FFFFFF"/>
              </w:rPr>
              <w:t>куб.м</w:t>
            </w:r>
            <w:proofErr w:type="spellEnd"/>
            <w:r w:rsidRPr="00871C75">
              <w:rPr>
                <w:rFonts w:ascii="Times New Roman" w:eastAsia="Times New Roman" w:hAnsi="Times New Roman" w:cs="Times New Roman"/>
                <w:sz w:val="24"/>
                <w:szCs w:val="24"/>
                <w:shd w:val="clear" w:color="auto" w:fill="FFFFFF"/>
              </w:rPr>
              <w:t>.)</w:t>
            </w:r>
          </w:p>
        </w:tc>
        <w:tc>
          <w:tcPr>
            <w:tcW w:w="1451" w:type="dxa"/>
            <w:shd w:val="clear" w:color="auto" w:fill="auto"/>
            <w:vAlign w:val="center"/>
          </w:tcPr>
          <w:p w14:paraId="231B74B7"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6F59550A"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48C78D20" w14:textId="77777777" w:rsidTr="002B13ED">
        <w:tc>
          <w:tcPr>
            <w:tcW w:w="506" w:type="dxa"/>
            <w:shd w:val="clear" w:color="auto" w:fill="auto"/>
            <w:vAlign w:val="center"/>
          </w:tcPr>
          <w:p w14:paraId="5D981875"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20</w:t>
            </w:r>
          </w:p>
        </w:tc>
        <w:tc>
          <w:tcPr>
            <w:tcW w:w="4030" w:type="dxa"/>
            <w:shd w:val="clear" w:color="auto" w:fill="auto"/>
          </w:tcPr>
          <w:p w14:paraId="2EEF255C"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Прохідна літ. "Д" </w:t>
            </w:r>
          </w:p>
        </w:tc>
        <w:tc>
          <w:tcPr>
            <w:tcW w:w="1451" w:type="dxa"/>
            <w:shd w:val="clear" w:color="auto" w:fill="auto"/>
            <w:vAlign w:val="center"/>
          </w:tcPr>
          <w:p w14:paraId="277900A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32,2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681A01E5"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7E948A0C" w14:textId="77777777" w:rsidTr="002B13ED">
        <w:tc>
          <w:tcPr>
            <w:tcW w:w="506" w:type="dxa"/>
            <w:shd w:val="clear" w:color="auto" w:fill="auto"/>
            <w:vAlign w:val="center"/>
          </w:tcPr>
          <w:p w14:paraId="2A7DE3C9"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21</w:t>
            </w:r>
          </w:p>
        </w:tc>
        <w:tc>
          <w:tcPr>
            <w:tcW w:w="4030" w:type="dxa"/>
            <w:shd w:val="clear" w:color="auto" w:fill="auto"/>
          </w:tcPr>
          <w:p w14:paraId="3A9863B9"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Об'єкт "Телефонізація" </w:t>
            </w:r>
          </w:p>
        </w:tc>
        <w:tc>
          <w:tcPr>
            <w:tcW w:w="1451" w:type="dxa"/>
            <w:shd w:val="clear" w:color="auto" w:fill="auto"/>
            <w:vAlign w:val="center"/>
          </w:tcPr>
          <w:p w14:paraId="0336718C"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5AAECA5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75DF98D0" w14:textId="77777777" w:rsidTr="002B13ED">
        <w:tc>
          <w:tcPr>
            <w:tcW w:w="506" w:type="dxa"/>
            <w:shd w:val="clear" w:color="auto" w:fill="auto"/>
            <w:vAlign w:val="center"/>
          </w:tcPr>
          <w:p w14:paraId="2380F289"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22</w:t>
            </w:r>
          </w:p>
        </w:tc>
        <w:tc>
          <w:tcPr>
            <w:tcW w:w="4030" w:type="dxa"/>
            <w:shd w:val="clear" w:color="auto" w:fill="auto"/>
          </w:tcPr>
          <w:p w14:paraId="24E53522"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Будівля холодильника літ. "М" </w:t>
            </w:r>
          </w:p>
        </w:tc>
        <w:tc>
          <w:tcPr>
            <w:tcW w:w="1451" w:type="dxa"/>
            <w:shd w:val="clear" w:color="auto" w:fill="auto"/>
            <w:vAlign w:val="center"/>
          </w:tcPr>
          <w:p w14:paraId="08341825"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95,2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518EFF29"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3DB5F677" w14:textId="77777777" w:rsidTr="002B13ED">
        <w:tc>
          <w:tcPr>
            <w:tcW w:w="506" w:type="dxa"/>
            <w:shd w:val="clear" w:color="auto" w:fill="auto"/>
            <w:vAlign w:val="center"/>
          </w:tcPr>
          <w:p w14:paraId="1DF66A5C"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23</w:t>
            </w:r>
          </w:p>
        </w:tc>
        <w:tc>
          <w:tcPr>
            <w:tcW w:w="4030" w:type="dxa"/>
            <w:shd w:val="clear" w:color="auto" w:fill="auto"/>
          </w:tcPr>
          <w:p w14:paraId="115B1C93"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Склад літ. "В" </w:t>
            </w:r>
          </w:p>
        </w:tc>
        <w:tc>
          <w:tcPr>
            <w:tcW w:w="1451" w:type="dxa"/>
            <w:shd w:val="clear" w:color="auto" w:fill="auto"/>
            <w:vAlign w:val="center"/>
          </w:tcPr>
          <w:p w14:paraId="6F63DC03"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463,6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64FC4A29"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0F66DDEC" w14:textId="77777777" w:rsidTr="002B13ED">
        <w:tc>
          <w:tcPr>
            <w:tcW w:w="506" w:type="dxa"/>
            <w:shd w:val="clear" w:color="auto" w:fill="auto"/>
            <w:vAlign w:val="center"/>
          </w:tcPr>
          <w:p w14:paraId="08BCF878"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24</w:t>
            </w:r>
          </w:p>
        </w:tc>
        <w:tc>
          <w:tcPr>
            <w:tcW w:w="4030" w:type="dxa"/>
            <w:shd w:val="clear" w:color="auto" w:fill="auto"/>
          </w:tcPr>
          <w:p w14:paraId="5494C0C6"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Корпус допоміжних служб літ. "З"  </w:t>
            </w:r>
          </w:p>
        </w:tc>
        <w:tc>
          <w:tcPr>
            <w:tcW w:w="1451" w:type="dxa"/>
            <w:shd w:val="clear" w:color="auto" w:fill="auto"/>
            <w:vAlign w:val="center"/>
          </w:tcPr>
          <w:p w14:paraId="69B45A1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130,9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46F06531"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68E69382" w14:textId="77777777" w:rsidTr="002B13ED">
        <w:tc>
          <w:tcPr>
            <w:tcW w:w="506" w:type="dxa"/>
            <w:shd w:val="clear" w:color="auto" w:fill="auto"/>
            <w:vAlign w:val="center"/>
          </w:tcPr>
          <w:p w14:paraId="785C6765"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25</w:t>
            </w:r>
          </w:p>
        </w:tc>
        <w:tc>
          <w:tcPr>
            <w:tcW w:w="4030" w:type="dxa"/>
            <w:shd w:val="clear" w:color="auto" w:fill="auto"/>
          </w:tcPr>
          <w:p w14:paraId="0BF78488"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Склад літ. "Б" </w:t>
            </w:r>
          </w:p>
        </w:tc>
        <w:tc>
          <w:tcPr>
            <w:tcW w:w="1451" w:type="dxa"/>
            <w:shd w:val="clear" w:color="auto" w:fill="auto"/>
            <w:vAlign w:val="center"/>
          </w:tcPr>
          <w:p w14:paraId="31A40C2E"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464,1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7D741214"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1B7535EF" w14:textId="77777777" w:rsidTr="002B13ED">
        <w:tc>
          <w:tcPr>
            <w:tcW w:w="506" w:type="dxa"/>
            <w:shd w:val="clear" w:color="auto" w:fill="auto"/>
            <w:vAlign w:val="center"/>
          </w:tcPr>
          <w:p w14:paraId="70B5C102"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26</w:t>
            </w:r>
          </w:p>
        </w:tc>
        <w:tc>
          <w:tcPr>
            <w:tcW w:w="4030" w:type="dxa"/>
            <w:shd w:val="clear" w:color="auto" w:fill="auto"/>
          </w:tcPr>
          <w:p w14:paraId="07BA6151"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Навіс (для </w:t>
            </w:r>
            <w:proofErr w:type="spellStart"/>
            <w:r w:rsidRPr="00871C75">
              <w:rPr>
                <w:rFonts w:ascii="Times New Roman" w:eastAsia="Times New Roman" w:hAnsi="Times New Roman" w:cs="Times New Roman"/>
                <w:sz w:val="24"/>
                <w:szCs w:val="24"/>
                <w:shd w:val="clear" w:color="auto" w:fill="FFFFFF"/>
              </w:rPr>
              <w:t>дизельгенератора</w:t>
            </w:r>
            <w:proofErr w:type="spellEnd"/>
            <w:r w:rsidRPr="00871C75">
              <w:rPr>
                <w:rFonts w:ascii="Times New Roman" w:eastAsia="Times New Roman" w:hAnsi="Times New Roman" w:cs="Times New Roman"/>
                <w:sz w:val="24"/>
                <w:szCs w:val="24"/>
                <w:shd w:val="clear" w:color="auto" w:fill="FFFFFF"/>
              </w:rPr>
              <w:t xml:space="preserve">)  літ. "Х" </w:t>
            </w:r>
          </w:p>
        </w:tc>
        <w:tc>
          <w:tcPr>
            <w:tcW w:w="1451" w:type="dxa"/>
            <w:shd w:val="clear" w:color="auto" w:fill="auto"/>
            <w:vAlign w:val="center"/>
          </w:tcPr>
          <w:p w14:paraId="1434100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2C56DD51"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35F1623F" w14:textId="77777777" w:rsidTr="002B13ED">
        <w:tc>
          <w:tcPr>
            <w:tcW w:w="506" w:type="dxa"/>
            <w:shd w:val="clear" w:color="auto" w:fill="auto"/>
            <w:vAlign w:val="center"/>
          </w:tcPr>
          <w:p w14:paraId="7AA2CC91"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27</w:t>
            </w:r>
          </w:p>
        </w:tc>
        <w:tc>
          <w:tcPr>
            <w:tcW w:w="4030" w:type="dxa"/>
            <w:shd w:val="clear" w:color="auto" w:fill="auto"/>
          </w:tcPr>
          <w:p w14:paraId="528EC019"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Службовий житловий будинок літ. "2А" </w:t>
            </w:r>
          </w:p>
        </w:tc>
        <w:tc>
          <w:tcPr>
            <w:tcW w:w="1451" w:type="dxa"/>
            <w:shd w:val="clear" w:color="auto" w:fill="auto"/>
            <w:vAlign w:val="center"/>
          </w:tcPr>
          <w:p w14:paraId="496C6ECD"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133,7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5FE381A4"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2F2B4A0E" w14:textId="77777777" w:rsidTr="002B13ED">
        <w:tc>
          <w:tcPr>
            <w:tcW w:w="506" w:type="dxa"/>
            <w:shd w:val="clear" w:color="auto" w:fill="auto"/>
            <w:vAlign w:val="center"/>
          </w:tcPr>
          <w:p w14:paraId="0852D36C"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28</w:t>
            </w:r>
          </w:p>
        </w:tc>
        <w:tc>
          <w:tcPr>
            <w:tcW w:w="4030" w:type="dxa"/>
            <w:shd w:val="clear" w:color="auto" w:fill="auto"/>
          </w:tcPr>
          <w:p w14:paraId="6C85831D"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Відстійник літ. "У" літ «Ф» </w:t>
            </w:r>
          </w:p>
        </w:tc>
        <w:tc>
          <w:tcPr>
            <w:tcW w:w="1451" w:type="dxa"/>
            <w:shd w:val="clear" w:color="auto" w:fill="auto"/>
            <w:vAlign w:val="center"/>
          </w:tcPr>
          <w:p w14:paraId="5903E82B"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14,4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05EEA48C"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5AB871FC" w14:textId="77777777" w:rsidTr="002B13ED">
        <w:trPr>
          <w:trHeight w:val="262"/>
        </w:trPr>
        <w:tc>
          <w:tcPr>
            <w:tcW w:w="506" w:type="dxa"/>
            <w:shd w:val="clear" w:color="auto" w:fill="auto"/>
            <w:vAlign w:val="center"/>
          </w:tcPr>
          <w:p w14:paraId="2AC4C198"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29</w:t>
            </w:r>
          </w:p>
        </w:tc>
        <w:tc>
          <w:tcPr>
            <w:tcW w:w="4030" w:type="dxa"/>
            <w:shd w:val="clear" w:color="auto" w:fill="auto"/>
          </w:tcPr>
          <w:p w14:paraId="5943BB22"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Склад літ. "И" </w:t>
            </w:r>
          </w:p>
        </w:tc>
        <w:tc>
          <w:tcPr>
            <w:tcW w:w="1451" w:type="dxa"/>
            <w:shd w:val="clear" w:color="auto" w:fill="auto"/>
            <w:vAlign w:val="center"/>
          </w:tcPr>
          <w:p w14:paraId="166EFC2B"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240,6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3ACCB7EA"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56585BA2" w14:textId="77777777" w:rsidTr="002B13ED">
        <w:tc>
          <w:tcPr>
            <w:tcW w:w="506" w:type="dxa"/>
            <w:shd w:val="clear" w:color="auto" w:fill="auto"/>
            <w:vAlign w:val="center"/>
          </w:tcPr>
          <w:p w14:paraId="70F9B28D"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30</w:t>
            </w:r>
          </w:p>
        </w:tc>
        <w:tc>
          <w:tcPr>
            <w:tcW w:w="4030" w:type="dxa"/>
            <w:shd w:val="clear" w:color="auto" w:fill="auto"/>
          </w:tcPr>
          <w:p w14:paraId="3643BB8B"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Гараж літ. "Ж" </w:t>
            </w:r>
          </w:p>
        </w:tc>
        <w:tc>
          <w:tcPr>
            <w:tcW w:w="1451" w:type="dxa"/>
            <w:shd w:val="clear" w:color="auto" w:fill="auto"/>
            <w:vAlign w:val="center"/>
          </w:tcPr>
          <w:p w14:paraId="5F7E81C3"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317,7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1344ED8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4C580BD5" w14:textId="77777777" w:rsidTr="002B13ED">
        <w:tc>
          <w:tcPr>
            <w:tcW w:w="506" w:type="dxa"/>
            <w:shd w:val="clear" w:color="auto" w:fill="auto"/>
            <w:vAlign w:val="center"/>
          </w:tcPr>
          <w:p w14:paraId="16C033AA"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31</w:t>
            </w:r>
          </w:p>
        </w:tc>
        <w:tc>
          <w:tcPr>
            <w:tcW w:w="4030" w:type="dxa"/>
            <w:shd w:val="clear" w:color="auto" w:fill="auto"/>
          </w:tcPr>
          <w:p w14:paraId="668AC41E"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Гараж літ. "Л" </w:t>
            </w:r>
          </w:p>
        </w:tc>
        <w:tc>
          <w:tcPr>
            <w:tcW w:w="1451" w:type="dxa"/>
            <w:shd w:val="clear" w:color="auto" w:fill="auto"/>
            <w:vAlign w:val="center"/>
          </w:tcPr>
          <w:p w14:paraId="7492980C"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18,7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36E00CCE"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55894E34" w14:textId="77777777" w:rsidTr="002B13ED">
        <w:tc>
          <w:tcPr>
            <w:tcW w:w="506" w:type="dxa"/>
            <w:shd w:val="clear" w:color="auto" w:fill="auto"/>
            <w:vAlign w:val="center"/>
          </w:tcPr>
          <w:p w14:paraId="68CAD1C7"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32</w:t>
            </w:r>
          </w:p>
        </w:tc>
        <w:tc>
          <w:tcPr>
            <w:tcW w:w="4030" w:type="dxa"/>
            <w:shd w:val="clear" w:color="auto" w:fill="auto"/>
          </w:tcPr>
          <w:p w14:paraId="47DEB29C"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Склад літ. "Г" </w:t>
            </w:r>
          </w:p>
        </w:tc>
        <w:tc>
          <w:tcPr>
            <w:tcW w:w="1451" w:type="dxa"/>
            <w:shd w:val="clear" w:color="auto" w:fill="auto"/>
            <w:vAlign w:val="center"/>
          </w:tcPr>
          <w:p w14:paraId="4576D30D"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468,4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7A8B8564"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2870F612" w14:textId="77777777" w:rsidTr="002B13ED">
        <w:tc>
          <w:tcPr>
            <w:tcW w:w="506" w:type="dxa"/>
            <w:shd w:val="clear" w:color="auto" w:fill="auto"/>
            <w:vAlign w:val="center"/>
          </w:tcPr>
          <w:p w14:paraId="0F8A0AEB"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33</w:t>
            </w:r>
          </w:p>
        </w:tc>
        <w:tc>
          <w:tcPr>
            <w:tcW w:w="4030" w:type="dxa"/>
            <w:shd w:val="clear" w:color="auto" w:fill="auto"/>
          </w:tcPr>
          <w:p w14:paraId="3DD18DAC"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Водонапірна вежа (ємність бака 15 </w:t>
            </w:r>
            <w:proofErr w:type="spellStart"/>
            <w:r w:rsidRPr="00871C75">
              <w:rPr>
                <w:rFonts w:ascii="Times New Roman" w:eastAsia="Times New Roman" w:hAnsi="Times New Roman" w:cs="Times New Roman"/>
                <w:sz w:val="24"/>
                <w:szCs w:val="24"/>
                <w:shd w:val="clear" w:color="auto" w:fill="FFFFFF"/>
              </w:rPr>
              <w:t>куб.м</w:t>
            </w:r>
            <w:proofErr w:type="spellEnd"/>
            <w:r w:rsidRPr="00871C75">
              <w:rPr>
                <w:rFonts w:ascii="Times New Roman" w:eastAsia="Times New Roman" w:hAnsi="Times New Roman" w:cs="Times New Roman"/>
                <w:sz w:val="24"/>
                <w:szCs w:val="24"/>
                <w:shd w:val="clear" w:color="auto" w:fill="FFFFFF"/>
              </w:rPr>
              <w:t>.)</w:t>
            </w:r>
          </w:p>
        </w:tc>
        <w:tc>
          <w:tcPr>
            <w:tcW w:w="1451" w:type="dxa"/>
            <w:shd w:val="clear" w:color="auto" w:fill="auto"/>
            <w:vAlign w:val="center"/>
          </w:tcPr>
          <w:p w14:paraId="2B34D115"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2445E50D"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681A50AC" w14:textId="77777777" w:rsidTr="002B13ED">
        <w:tc>
          <w:tcPr>
            <w:tcW w:w="506" w:type="dxa"/>
            <w:shd w:val="clear" w:color="auto" w:fill="auto"/>
            <w:vAlign w:val="center"/>
          </w:tcPr>
          <w:p w14:paraId="109CDBEC"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lastRenderedPageBreak/>
              <w:t>34</w:t>
            </w:r>
          </w:p>
        </w:tc>
        <w:tc>
          <w:tcPr>
            <w:tcW w:w="4030" w:type="dxa"/>
            <w:shd w:val="clear" w:color="auto" w:fill="auto"/>
          </w:tcPr>
          <w:p w14:paraId="6CAD95DE"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Оздоровчий корпус літ. "Е" </w:t>
            </w:r>
          </w:p>
        </w:tc>
        <w:tc>
          <w:tcPr>
            <w:tcW w:w="1451" w:type="dxa"/>
            <w:shd w:val="clear" w:color="auto" w:fill="auto"/>
            <w:vAlign w:val="center"/>
          </w:tcPr>
          <w:p w14:paraId="5A5B5B22"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517,9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7DC4205B"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6E5DE505" w14:textId="77777777" w:rsidTr="002B13ED">
        <w:tc>
          <w:tcPr>
            <w:tcW w:w="506" w:type="dxa"/>
            <w:shd w:val="clear" w:color="auto" w:fill="auto"/>
            <w:vAlign w:val="center"/>
          </w:tcPr>
          <w:p w14:paraId="5495BC03"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35</w:t>
            </w:r>
          </w:p>
        </w:tc>
        <w:tc>
          <w:tcPr>
            <w:tcW w:w="4030" w:type="dxa"/>
            <w:shd w:val="clear" w:color="auto" w:fill="auto"/>
          </w:tcPr>
          <w:p w14:paraId="0F5A9DA7"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Зовнішній туалет (розмір 1050*1300-40034)</w:t>
            </w:r>
          </w:p>
        </w:tc>
        <w:tc>
          <w:tcPr>
            <w:tcW w:w="1451" w:type="dxa"/>
            <w:shd w:val="clear" w:color="auto" w:fill="auto"/>
            <w:vAlign w:val="center"/>
          </w:tcPr>
          <w:p w14:paraId="225ECBFD"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29C464DB"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0940EFC7" w14:textId="77777777" w:rsidTr="002B13ED">
        <w:tc>
          <w:tcPr>
            <w:tcW w:w="506" w:type="dxa"/>
            <w:shd w:val="clear" w:color="auto" w:fill="auto"/>
            <w:vAlign w:val="center"/>
          </w:tcPr>
          <w:p w14:paraId="2327EB40"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36</w:t>
            </w:r>
          </w:p>
        </w:tc>
        <w:tc>
          <w:tcPr>
            <w:tcW w:w="4030" w:type="dxa"/>
            <w:shd w:val="clear" w:color="auto" w:fill="auto"/>
          </w:tcPr>
          <w:p w14:paraId="4D78C898"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Корпус допоміжних служб літ. "І" </w:t>
            </w:r>
          </w:p>
        </w:tc>
        <w:tc>
          <w:tcPr>
            <w:tcW w:w="1451" w:type="dxa"/>
            <w:shd w:val="clear" w:color="auto" w:fill="auto"/>
            <w:vAlign w:val="center"/>
          </w:tcPr>
          <w:p w14:paraId="2DB460F6"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40,5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7BF88CDD"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334E471B" w14:textId="77777777" w:rsidTr="002B13ED">
        <w:tc>
          <w:tcPr>
            <w:tcW w:w="506" w:type="dxa"/>
            <w:shd w:val="clear" w:color="auto" w:fill="auto"/>
            <w:vAlign w:val="center"/>
          </w:tcPr>
          <w:p w14:paraId="1B3B5194"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37</w:t>
            </w:r>
          </w:p>
        </w:tc>
        <w:tc>
          <w:tcPr>
            <w:tcW w:w="4030" w:type="dxa"/>
            <w:shd w:val="clear" w:color="auto" w:fill="auto"/>
          </w:tcPr>
          <w:p w14:paraId="4DB55BA7"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Гараж літ. "К" </w:t>
            </w:r>
          </w:p>
        </w:tc>
        <w:tc>
          <w:tcPr>
            <w:tcW w:w="1451" w:type="dxa"/>
            <w:shd w:val="clear" w:color="auto" w:fill="auto"/>
            <w:vAlign w:val="center"/>
          </w:tcPr>
          <w:p w14:paraId="4189FB0C"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18,7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6570CBFB"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0597F73B" w14:textId="77777777" w:rsidTr="002B13ED">
        <w:tc>
          <w:tcPr>
            <w:tcW w:w="506" w:type="dxa"/>
            <w:shd w:val="clear" w:color="auto" w:fill="auto"/>
            <w:vAlign w:val="center"/>
          </w:tcPr>
          <w:p w14:paraId="5D0AB85D"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38</w:t>
            </w:r>
          </w:p>
        </w:tc>
        <w:tc>
          <w:tcPr>
            <w:tcW w:w="4030" w:type="dxa"/>
            <w:shd w:val="clear" w:color="auto" w:fill="auto"/>
          </w:tcPr>
          <w:p w14:paraId="7F4FB4A7"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Навіс для автотранспорту літ. "П" </w:t>
            </w:r>
          </w:p>
        </w:tc>
        <w:tc>
          <w:tcPr>
            <w:tcW w:w="1451" w:type="dxa"/>
            <w:shd w:val="clear" w:color="auto" w:fill="auto"/>
            <w:vAlign w:val="center"/>
          </w:tcPr>
          <w:p w14:paraId="2FD267F3"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442,0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35EAA3BA"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6C4A6AB2" w14:textId="77777777" w:rsidTr="002B13ED">
        <w:tc>
          <w:tcPr>
            <w:tcW w:w="506" w:type="dxa"/>
            <w:shd w:val="clear" w:color="auto" w:fill="auto"/>
            <w:vAlign w:val="center"/>
          </w:tcPr>
          <w:p w14:paraId="31F4520D"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39</w:t>
            </w:r>
          </w:p>
        </w:tc>
        <w:tc>
          <w:tcPr>
            <w:tcW w:w="4030" w:type="dxa"/>
            <w:shd w:val="clear" w:color="auto" w:fill="auto"/>
          </w:tcPr>
          <w:p w14:paraId="04FC785F"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КПП літ. "Й" </w:t>
            </w:r>
          </w:p>
        </w:tc>
        <w:tc>
          <w:tcPr>
            <w:tcW w:w="1451" w:type="dxa"/>
            <w:shd w:val="clear" w:color="auto" w:fill="auto"/>
            <w:vAlign w:val="center"/>
          </w:tcPr>
          <w:p w14:paraId="64A2781A"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10,2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47E66200"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0C079E5B" w14:textId="77777777" w:rsidTr="002B13ED">
        <w:tc>
          <w:tcPr>
            <w:tcW w:w="506" w:type="dxa"/>
            <w:shd w:val="clear" w:color="auto" w:fill="auto"/>
            <w:vAlign w:val="center"/>
          </w:tcPr>
          <w:p w14:paraId="7DEC208D"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40</w:t>
            </w:r>
          </w:p>
        </w:tc>
        <w:tc>
          <w:tcPr>
            <w:tcW w:w="4030" w:type="dxa"/>
            <w:shd w:val="clear" w:color="auto" w:fill="auto"/>
          </w:tcPr>
          <w:p w14:paraId="66A9C505"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Склад літ. "Н" </w:t>
            </w:r>
          </w:p>
        </w:tc>
        <w:tc>
          <w:tcPr>
            <w:tcW w:w="1451" w:type="dxa"/>
            <w:shd w:val="clear" w:color="auto" w:fill="auto"/>
            <w:vAlign w:val="center"/>
          </w:tcPr>
          <w:p w14:paraId="19F83E24"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340,6 </w:t>
            </w:r>
            <w:proofErr w:type="spellStart"/>
            <w:r w:rsidRPr="00871C75">
              <w:rPr>
                <w:rFonts w:ascii="Times New Roman" w:eastAsia="Times New Roman" w:hAnsi="Times New Roman" w:cs="Times New Roman"/>
                <w:sz w:val="24"/>
                <w:szCs w:val="24"/>
                <w:shd w:val="clear" w:color="auto" w:fill="FFFFFF"/>
              </w:rPr>
              <w:t>кв</w:t>
            </w:r>
            <w:proofErr w:type="spellEnd"/>
            <w:r w:rsidRPr="00871C75">
              <w:rPr>
                <w:rFonts w:ascii="Times New Roman" w:eastAsia="Times New Roman" w:hAnsi="Times New Roman" w:cs="Times New Roman"/>
                <w:sz w:val="24"/>
                <w:szCs w:val="24"/>
                <w:shd w:val="clear" w:color="auto" w:fill="FFFFFF"/>
              </w:rPr>
              <w:t>. м.</w:t>
            </w:r>
          </w:p>
        </w:tc>
        <w:tc>
          <w:tcPr>
            <w:tcW w:w="3511" w:type="dxa"/>
            <w:shd w:val="clear" w:color="auto" w:fill="auto"/>
            <w:vAlign w:val="center"/>
          </w:tcPr>
          <w:p w14:paraId="63749F14"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r w:rsidR="00871C75" w:rsidRPr="00871C75" w14:paraId="08612533" w14:textId="77777777" w:rsidTr="002B13ED">
        <w:tc>
          <w:tcPr>
            <w:tcW w:w="506" w:type="dxa"/>
            <w:shd w:val="clear" w:color="auto" w:fill="auto"/>
            <w:vAlign w:val="center"/>
          </w:tcPr>
          <w:p w14:paraId="1B52C59A"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41</w:t>
            </w:r>
          </w:p>
        </w:tc>
        <w:tc>
          <w:tcPr>
            <w:tcW w:w="4030" w:type="dxa"/>
            <w:shd w:val="clear" w:color="auto" w:fill="auto"/>
          </w:tcPr>
          <w:p w14:paraId="517375CB"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Трансформаторна підстанція ТП 370 літ. «В»</w:t>
            </w:r>
          </w:p>
        </w:tc>
        <w:tc>
          <w:tcPr>
            <w:tcW w:w="1451" w:type="dxa"/>
            <w:shd w:val="clear" w:color="auto" w:fill="auto"/>
            <w:vAlign w:val="center"/>
          </w:tcPr>
          <w:p w14:paraId="557AC636"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86,7 </w:t>
            </w:r>
            <w:proofErr w:type="spellStart"/>
            <w:r w:rsidRPr="00871C75">
              <w:rPr>
                <w:rFonts w:ascii="Times New Roman" w:eastAsia="Times New Roman" w:hAnsi="Times New Roman" w:cs="Times New Roman"/>
                <w:sz w:val="24"/>
                <w:szCs w:val="24"/>
                <w:shd w:val="clear" w:color="auto" w:fill="FFFFFF"/>
              </w:rPr>
              <w:t>кв.м</w:t>
            </w:r>
            <w:proofErr w:type="spellEnd"/>
            <w:r w:rsidRPr="00871C75">
              <w:rPr>
                <w:rFonts w:ascii="Times New Roman" w:eastAsia="Times New Roman" w:hAnsi="Times New Roman" w:cs="Times New Roman"/>
                <w:sz w:val="24"/>
                <w:szCs w:val="24"/>
                <w:shd w:val="clear" w:color="auto" w:fill="FFFFFF"/>
              </w:rPr>
              <w:t>.</w:t>
            </w:r>
          </w:p>
        </w:tc>
        <w:tc>
          <w:tcPr>
            <w:tcW w:w="3511" w:type="dxa"/>
            <w:shd w:val="clear" w:color="auto" w:fill="auto"/>
            <w:vAlign w:val="center"/>
          </w:tcPr>
          <w:p w14:paraId="6212DACF"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м. Київ, вул. Дегтярівська, 11Г</w:t>
            </w:r>
          </w:p>
        </w:tc>
      </w:tr>
      <w:tr w:rsidR="00871C75" w:rsidRPr="00871C75" w14:paraId="19FC6119" w14:textId="77777777" w:rsidTr="002B13ED">
        <w:tc>
          <w:tcPr>
            <w:tcW w:w="506" w:type="dxa"/>
            <w:shd w:val="clear" w:color="auto" w:fill="auto"/>
            <w:vAlign w:val="center"/>
          </w:tcPr>
          <w:p w14:paraId="11DCBB85"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42</w:t>
            </w:r>
          </w:p>
        </w:tc>
        <w:tc>
          <w:tcPr>
            <w:tcW w:w="4030" w:type="dxa"/>
            <w:shd w:val="clear" w:color="auto" w:fill="auto"/>
          </w:tcPr>
          <w:p w14:paraId="5C129450"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Контейнер морський 20 фут.  (сірого кольору) </w:t>
            </w:r>
          </w:p>
        </w:tc>
        <w:tc>
          <w:tcPr>
            <w:tcW w:w="1451" w:type="dxa"/>
            <w:shd w:val="clear" w:color="auto" w:fill="auto"/>
            <w:vAlign w:val="center"/>
          </w:tcPr>
          <w:p w14:paraId="4FD0A757"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2 шт.</w:t>
            </w:r>
          </w:p>
        </w:tc>
        <w:tc>
          <w:tcPr>
            <w:tcW w:w="3511" w:type="dxa"/>
            <w:shd w:val="clear" w:color="auto" w:fill="auto"/>
            <w:vAlign w:val="center"/>
          </w:tcPr>
          <w:p w14:paraId="12B08C20"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м. Київ, вул. Дегтярівська, 11Г</w:t>
            </w:r>
          </w:p>
        </w:tc>
      </w:tr>
      <w:tr w:rsidR="00871C75" w:rsidRPr="00871C75" w14:paraId="67F9A4C1" w14:textId="77777777" w:rsidTr="002B13ED">
        <w:tc>
          <w:tcPr>
            <w:tcW w:w="506" w:type="dxa"/>
            <w:shd w:val="clear" w:color="auto" w:fill="auto"/>
            <w:vAlign w:val="center"/>
          </w:tcPr>
          <w:p w14:paraId="0225BBC6" w14:textId="77777777" w:rsidR="00871C75" w:rsidRPr="00871C75" w:rsidRDefault="00871C75" w:rsidP="002B13ED">
            <w:pPr>
              <w:spacing w:line="280" w:lineRule="exact"/>
              <w:jc w:val="center"/>
              <w:rPr>
                <w:rFonts w:ascii="Times New Roman" w:eastAsia="Times New Roman" w:hAnsi="Times New Roman" w:cs="Times New Roman"/>
                <w:sz w:val="24"/>
                <w:szCs w:val="24"/>
                <w:lang w:val="ru-RU"/>
              </w:rPr>
            </w:pPr>
            <w:r w:rsidRPr="00871C75">
              <w:rPr>
                <w:rFonts w:ascii="Times New Roman" w:eastAsia="Times New Roman" w:hAnsi="Times New Roman" w:cs="Times New Roman"/>
                <w:sz w:val="24"/>
                <w:szCs w:val="24"/>
                <w:lang w:val="ru-RU"/>
              </w:rPr>
              <w:t>43</w:t>
            </w:r>
          </w:p>
        </w:tc>
        <w:tc>
          <w:tcPr>
            <w:tcW w:w="4030" w:type="dxa"/>
            <w:shd w:val="clear" w:color="auto" w:fill="auto"/>
          </w:tcPr>
          <w:p w14:paraId="7CA15D8A" w14:textId="77777777" w:rsidR="00871C75" w:rsidRPr="00871C75" w:rsidRDefault="00871C75" w:rsidP="002B13ED">
            <w:pPr>
              <w:spacing w:line="280" w:lineRule="exact"/>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 xml:space="preserve">Контейнер морський 40 фут.  </w:t>
            </w:r>
          </w:p>
        </w:tc>
        <w:tc>
          <w:tcPr>
            <w:tcW w:w="1451" w:type="dxa"/>
            <w:shd w:val="clear" w:color="auto" w:fill="auto"/>
            <w:vAlign w:val="center"/>
          </w:tcPr>
          <w:p w14:paraId="558E6355"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shd w:val="clear" w:color="auto" w:fill="FFFFFF"/>
              </w:rPr>
              <w:t>5 шт.</w:t>
            </w:r>
          </w:p>
        </w:tc>
        <w:tc>
          <w:tcPr>
            <w:tcW w:w="3511" w:type="dxa"/>
            <w:shd w:val="clear" w:color="auto" w:fill="auto"/>
            <w:vAlign w:val="center"/>
          </w:tcPr>
          <w:p w14:paraId="52858985" w14:textId="77777777" w:rsidR="00871C75" w:rsidRPr="00871C75" w:rsidRDefault="00871C75" w:rsidP="002B13ED">
            <w:pPr>
              <w:spacing w:line="280" w:lineRule="exact"/>
              <w:jc w:val="center"/>
              <w:rPr>
                <w:rFonts w:ascii="Times New Roman" w:eastAsia="Times New Roman" w:hAnsi="Times New Roman" w:cs="Times New Roman"/>
                <w:sz w:val="24"/>
                <w:szCs w:val="24"/>
                <w:shd w:val="clear" w:color="auto" w:fill="FFFFFF"/>
              </w:rPr>
            </w:pPr>
            <w:r w:rsidRPr="00871C75">
              <w:rPr>
                <w:rFonts w:ascii="Times New Roman" w:eastAsia="Times New Roman" w:hAnsi="Times New Roman" w:cs="Times New Roman"/>
                <w:sz w:val="24"/>
                <w:szCs w:val="24"/>
              </w:rPr>
              <w:t xml:space="preserve">Київська обл., Вишгородський р-н, </w:t>
            </w:r>
            <w:proofErr w:type="spellStart"/>
            <w:r w:rsidRPr="00871C75">
              <w:rPr>
                <w:rFonts w:ascii="Times New Roman" w:eastAsia="Times New Roman" w:hAnsi="Times New Roman" w:cs="Times New Roman"/>
                <w:sz w:val="24"/>
                <w:szCs w:val="24"/>
              </w:rPr>
              <w:t>с.Лютіж</w:t>
            </w:r>
            <w:proofErr w:type="spellEnd"/>
            <w:r w:rsidRPr="00871C75">
              <w:rPr>
                <w:rFonts w:ascii="Times New Roman" w:eastAsia="Times New Roman" w:hAnsi="Times New Roman" w:cs="Times New Roman"/>
                <w:sz w:val="24"/>
                <w:szCs w:val="24"/>
              </w:rPr>
              <w:t xml:space="preserve">, Урочище </w:t>
            </w:r>
            <w:proofErr w:type="spellStart"/>
            <w:r w:rsidRPr="00871C75">
              <w:rPr>
                <w:rFonts w:ascii="Times New Roman" w:eastAsia="Times New Roman" w:hAnsi="Times New Roman" w:cs="Times New Roman"/>
                <w:sz w:val="24"/>
                <w:szCs w:val="24"/>
              </w:rPr>
              <w:t>Туровча</w:t>
            </w:r>
            <w:proofErr w:type="spellEnd"/>
            <w:r w:rsidRPr="00871C75">
              <w:rPr>
                <w:rFonts w:ascii="Times New Roman" w:eastAsia="Times New Roman" w:hAnsi="Times New Roman" w:cs="Times New Roman"/>
                <w:sz w:val="24"/>
                <w:szCs w:val="24"/>
              </w:rPr>
              <w:t>, 1</w:t>
            </w:r>
          </w:p>
        </w:tc>
      </w:tr>
    </w:tbl>
    <w:p w14:paraId="6F328076" w14:textId="77777777" w:rsidR="00871C75" w:rsidRPr="00871C75" w:rsidRDefault="00871C75" w:rsidP="00871C75">
      <w:pPr>
        <w:ind w:firstLine="770"/>
        <w:jc w:val="both"/>
        <w:rPr>
          <w:rFonts w:ascii="Times New Roman" w:hAnsi="Times New Roman" w:cs="Times New Roman"/>
          <w:sz w:val="24"/>
          <w:szCs w:val="24"/>
        </w:rPr>
      </w:pPr>
    </w:p>
    <w:p w14:paraId="0657E1B7" w14:textId="77777777" w:rsidR="00871C75" w:rsidRPr="00871C75" w:rsidRDefault="00871C75" w:rsidP="00871C75">
      <w:pPr>
        <w:numPr>
          <w:ilvl w:val="0"/>
          <w:numId w:val="37"/>
        </w:numPr>
        <w:spacing w:after="0" w:line="240" w:lineRule="auto"/>
        <w:ind w:hanging="357"/>
        <w:jc w:val="both"/>
        <w:rPr>
          <w:rFonts w:ascii="Times New Roman" w:hAnsi="Times New Roman" w:cs="Times New Roman"/>
          <w:b/>
          <w:sz w:val="24"/>
          <w:szCs w:val="24"/>
        </w:rPr>
      </w:pPr>
      <w:r w:rsidRPr="00871C75">
        <w:rPr>
          <w:rFonts w:ascii="Times New Roman" w:hAnsi="Times New Roman" w:cs="Times New Roman"/>
          <w:b/>
          <w:sz w:val="24"/>
          <w:szCs w:val="24"/>
        </w:rPr>
        <w:t>Підстава</w:t>
      </w:r>
      <w:r w:rsidRPr="00871C75">
        <w:rPr>
          <w:rFonts w:ascii="Times New Roman" w:hAnsi="Times New Roman" w:cs="Times New Roman"/>
          <w:b/>
          <w:spacing w:val="-5"/>
          <w:sz w:val="24"/>
          <w:szCs w:val="24"/>
        </w:rPr>
        <w:t xml:space="preserve"> </w:t>
      </w:r>
      <w:r w:rsidRPr="00871C75">
        <w:rPr>
          <w:rFonts w:ascii="Times New Roman" w:hAnsi="Times New Roman" w:cs="Times New Roman"/>
          <w:b/>
          <w:sz w:val="24"/>
          <w:szCs w:val="24"/>
        </w:rPr>
        <w:t>для</w:t>
      </w:r>
      <w:r w:rsidRPr="00871C75">
        <w:rPr>
          <w:rFonts w:ascii="Times New Roman" w:hAnsi="Times New Roman" w:cs="Times New Roman"/>
          <w:b/>
          <w:spacing w:val="-2"/>
          <w:sz w:val="24"/>
          <w:szCs w:val="24"/>
        </w:rPr>
        <w:t xml:space="preserve"> </w:t>
      </w:r>
      <w:r w:rsidRPr="00871C75">
        <w:rPr>
          <w:rFonts w:ascii="Times New Roman" w:hAnsi="Times New Roman" w:cs="Times New Roman"/>
          <w:b/>
          <w:sz w:val="24"/>
          <w:szCs w:val="24"/>
        </w:rPr>
        <w:t>проведення</w:t>
      </w:r>
      <w:r w:rsidRPr="00871C75">
        <w:rPr>
          <w:rFonts w:ascii="Times New Roman" w:hAnsi="Times New Roman" w:cs="Times New Roman"/>
          <w:b/>
          <w:spacing w:val="-1"/>
          <w:sz w:val="24"/>
          <w:szCs w:val="24"/>
        </w:rPr>
        <w:t xml:space="preserve"> </w:t>
      </w:r>
      <w:r w:rsidRPr="00871C75">
        <w:rPr>
          <w:rFonts w:ascii="Times New Roman" w:hAnsi="Times New Roman" w:cs="Times New Roman"/>
          <w:b/>
          <w:sz w:val="24"/>
          <w:szCs w:val="24"/>
        </w:rPr>
        <w:t>оцінки</w:t>
      </w:r>
      <w:r w:rsidRPr="00871C75">
        <w:rPr>
          <w:rFonts w:ascii="Times New Roman" w:hAnsi="Times New Roman" w:cs="Times New Roman"/>
          <w:b/>
          <w:spacing w:val="-3"/>
          <w:sz w:val="24"/>
          <w:szCs w:val="24"/>
        </w:rPr>
        <w:t xml:space="preserve"> </w:t>
      </w:r>
      <w:r w:rsidRPr="00871C75">
        <w:rPr>
          <w:rFonts w:ascii="Times New Roman" w:hAnsi="Times New Roman" w:cs="Times New Roman"/>
          <w:b/>
          <w:sz w:val="24"/>
          <w:szCs w:val="24"/>
        </w:rPr>
        <w:t>та</w:t>
      </w:r>
      <w:r w:rsidRPr="00871C75">
        <w:rPr>
          <w:rFonts w:ascii="Times New Roman" w:hAnsi="Times New Roman" w:cs="Times New Roman"/>
          <w:b/>
          <w:spacing w:val="-4"/>
          <w:sz w:val="24"/>
          <w:szCs w:val="24"/>
        </w:rPr>
        <w:t xml:space="preserve"> </w:t>
      </w:r>
      <w:r w:rsidRPr="00871C75">
        <w:rPr>
          <w:rFonts w:ascii="Times New Roman" w:hAnsi="Times New Roman" w:cs="Times New Roman"/>
          <w:b/>
          <w:sz w:val="24"/>
          <w:szCs w:val="24"/>
        </w:rPr>
        <w:t>нормативно-правова</w:t>
      </w:r>
      <w:r w:rsidRPr="00871C75">
        <w:rPr>
          <w:rFonts w:ascii="Times New Roman" w:hAnsi="Times New Roman" w:cs="Times New Roman"/>
          <w:b/>
          <w:spacing w:val="-1"/>
          <w:sz w:val="24"/>
          <w:szCs w:val="24"/>
        </w:rPr>
        <w:t xml:space="preserve"> </w:t>
      </w:r>
      <w:r w:rsidRPr="00871C75">
        <w:rPr>
          <w:rFonts w:ascii="Times New Roman" w:hAnsi="Times New Roman" w:cs="Times New Roman"/>
          <w:b/>
          <w:sz w:val="24"/>
          <w:szCs w:val="24"/>
        </w:rPr>
        <w:t>база:</w:t>
      </w:r>
    </w:p>
    <w:p w14:paraId="747AF049" w14:textId="77777777" w:rsidR="00871C75" w:rsidRPr="00871C75" w:rsidRDefault="00871C75" w:rsidP="00871C75">
      <w:pPr>
        <w:numPr>
          <w:ilvl w:val="0"/>
          <w:numId w:val="36"/>
        </w:numPr>
        <w:spacing w:after="0" w:line="240" w:lineRule="auto"/>
        <w:ind w:left="720"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Закон України від 12 липня 2001 року № 2658-III  «Про оцінку майна, майнових прав та професійну оціночну діяльність в Україні»;</w:t>
      </w:r>
    </w:p>
    <w:p w14:paraId="2B611350" w14:textId="77777777" w:rsidR="00871C75" w:rsidRPr="00871C75" w:rsidRDefault="00871C75" w:rsidP="00871C75">
      <w:pPr>
        <w:numPr>
          <w:ilvl w:val="0"/>
          <w:numId w:val="36"/>
        </w:numPr>
        <w:spacing w:after="0" w:line="240" w:lineRule="auto"/>
        <w:ind w:left="720"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Постанова Кабінету Міністрів України від 10 вересня 2003 року № 1440 «Про затвердження Національного стандарту № 1 «Загальні засади оцінки майна і майнових прав»;</w:t>
      </w:r>
    </w:p>
    <w:p w14:paraId="462EA207" w14:textId="77777777" w:rsidR="00871C75" w:rsidRPr="00871C75" w:rsidRDefault="00871C75" w:rsidP="00871C75">
      <w:pPr>
        <w:numPr>
          <w:ilvl w:val="0"/>
          <w:numId w:val="36"/>
        </w:numPr>
        <w:spacing w:after="0" w:line="240" w:lineRule="auto"/>
        <w:ind w:left="720"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 xml:space="preserve">Методики оцінки майна, </w:t>
      </w:r>
      <w:proofErr w:type="spellStart"/>
      <w:r w:rsidRPr="00871C75">
        <w:rPr>
          <w:rFonts w:ascii="Times New Roman" w:eastAsia="Arial Unicode MS" w:hAnsi="Times New Roman" w:cs="Times New Roman"/>
          <w:color w:val="000000"/>
          <w:sz w:val="24"/>
          <w:szCs w:val="24"/>
        </w:rPr>
        <w:t>затвердженної</w:t>
      </w:r>
      <w:proofErr w:type="spellEnd"/>
      <w:r w:rsidRPr="00871C75">
        <w:rPr>
          <w:rFonts w:ascii="Times New Roman" w:eastAsia="Arial Unicode MS" w:hAnsi="Times New Roman" w:cs="Times New Roman"/>
          <w:color w:val="000000"/>
          <w:sz w:val="24"/>
          <w:szCs w:val="24"/>
        </w:rPr>
        <w:t xml:space="preserve"> постановою Кабінету Міністрів України від 10 грудня 2003 р. № 1891 (в редакції постанови Кабінету Міністрів України від 20 лютого 2019 р. № 224;</w:t>
      </w:r>
    </w:p>
    <w:p w14:paraId="060AC8B4" w14:textId="77777777" w:rsidR="00871C75" w:rsidRPr="00871C75" w:rsidRDefault="00871C75" w:rsidP="00871C75">
      <w:pPr>
        <w:numPr>
          <w:ilvl w:val="0"/>
          <w:numId w:val="36"/>
        </w:numPr>
        <w:spacing w:after="0" w:line="240" w:lineRule="auto"/>
        <w:ind w:left="720"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Наказ Фонду державного майна України від 17 травня 2018 року № 658 «Про затвердження Порядку ведення єдиної бази даних звітів про оцінку».</w:t>
      </w:r>
    </w:p>
    <w:p w14:paraId="66C252EB" w14:textId="77777777" w:rsidR="00871C75" w:rsidRPr="00871C75" w:rsidRDefault="00871C75" w:rsidP="00871C75">
      <w:pPr>
        <w:ind w:left="720"/>
        <w:jc w:val="both"/>
        <w:rPr>
          <w:rFonts w:ascii="Times New Roman" w:eastAsia="Arial Unicode MS" w:hAnsi="Times New Roman" w:cs="Times New Roman"/>
          <w:color w:val="000000"/>
          <w:sz w:val="24"/>
          <w:szCs w:val="24"/>
        </w:rPr>
      </w:pPr>
    </w:p>
    <w:p w14:paraId="47F3DDAF" w14:textId="77777777" w:rsidR="00871C75" w:rsidRPr="00871C75" w:rsidRDefault="00871C75" w:rsidP="00871C75">
      <w:pPr>
        <w:numPr>
          <w:ilvl w:val="0"/>
          <w:numId w:val="37"/>
        </w:numPr>
        <w:spacing w:after="120" w:line="240" w:lineRule="auto"/>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 xml:space="preserve">Послуги з оцінки майна надаються у відповідності до вимог Закону України від 12 липня 2001 року № 2658-III «Про оцінку майна, майнових прав та професійну оціночну діяльність в Україні», положень (національних стандартів) оцінки майна, затверджених постановою Кабінету Міністрів України від 10 вересня 2003 р. № 1440, методики оцінки майна, </w:t>
      </w:r>
      <w:proofErr w:type="spellStart"/>
      <w:r w:rsidRPr="00871C75">
        <w:rPr>
          <w:rFonts w:ascii="Times New Roman" w:eastAsia="Arial Unicode MS" w:hAnsi="Times New Roman" w:cs="Times New Roman"/>
          <w:color w:val="000000"/>
          <w:sz w:val="24"/>
          <w:szCs w:val="24"/>
        </w:rPr>
        <w:t>затвердженної</w:t>
      </w:r>
      <w:proofErr w:type="spellEnd"/>
      <w:r w:rsidRPr="00871C75">
        <w:rPr>
          <w:rFonts w:ascii="Times New Roman" w:eastAsia="Arial Unicode MS" w:hAnsi="Times New Roman" w:cs="Times New Roman"/>
          <w:color w:val="000000"/>
          <w:sz w:val="24"/>
          <w:szCs w:val="24"/>
        </w:rPr>
        <w:t xml:space="preserve"> постановою Кабінету Міністрів України від 10 грудня 2003 р.       № 1891 (в редакції постанови Кабінету Міністрів України від 20 лютого 2019 р. № 224), та </w:t>
      </w:r>
      <w:r w:rsidRPr="00871C75">
        <w:rPr>
          <w:rFonts w:ascii="Times New Roman" w:eastAsia="Arial Unicode MS" w:hAnsi="Times New Roman" w:cs="Times New Roman"/>
          <w:color w:val="000000"/>
          <w:sz w:val="24"/>
          <w:szCs w:val="24"/>
        </w:rPr>
        <w:lastRenderedPageBreak/>
        <w:t>інших нормативно-правових актів, які розробляються з врахуванням вимог положень (національних стандартів) і затверджуються Кабінетом Міністрів України або Фондом державного майна України.</w:t>
      </w:r>
    </w:p>
    <w:p w14:paraId="718C5405" w14:textId="77777777" w:rsidR="00871C75" w:rsidRPr="00871C75" w:rsidRDefault="00871C75" w:rsidP="00871C75">
      <w:pPr>
        <w:numPr>
          <w:ilvl w:val="0"/>
          <w:numId w:val="37"/>
        </w:numPr>
        <w:spacing w:after="120" w:line="240" w:lineRule="auto"/>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 xml:space="preserve">Результати оцінки оформлюються Звітом про незалежну оцінку майна та Рецензією відповідно до норм діючого </w:t>
      </w:r>
      <w:proofErr w:type="spellStart"/>
      <w:r w:rsidRPr="00871C75">
        <w:rPr>
          <w:rFonts w:ascii="Times New Roman" w:eastAsia="Arial Unicode MS" w:hAnsi="Times New Roman" w:cs="Times New Roman"/>
          <w:color w:val="000000"/>
          <w:sz w:val="24"/>
          <w:szCs w:val="24"/>
        </w:rPr>
        <w:t>законодавтсва</w:t>
      </w:r>
      <w:proofErr w:type="spellEnd"/>
      <w:r w:rsidRPr="00871C75">
        <w:rPr>
          <w:rFonts w:ascii="Times New Roman" w:eastAsia="Arial Unicode MS" w:hAnsi="Times New Roman" w:cs="Times New Roman"/>
          <w:color w:val="000000"/>
          <w:sz w:val="24"/>
          <w:szCs w:val="24"/>
        </w:rPr>
        <w:t xml:space="preserve"> України з оцінки майна </w:t>
      </w:r>
      <w:proofErr w:type="spellStart"/>
      <w:r w:rsidRPr="00871C75">
        <w:rPr>
          <w:rFonts w:ascii="Times New Roman" w:eastAsia="Arial Unicode MS" w:hAnsi="Times New Roman" w:cs="Times New Roman"/>
          <w:color w:val="000000"/>
          <w:sz w:val="24"/>
          <w:szCs w:val="24"/>
        </w:rPr>
        <w:t>іночної</w:t>
      </w:r>
      <w:proofErr w:type="spellEnd"/>
      <w:r w:rsidRPr="00871C75">
        <w:rPr>
          <w:rFonts w:ascii="Times New Roman" w:eastAsia="Arial Unicode MS" w:hAnsi="Times New Roman" w:cs="Times New Roman"/>
          <w:color w:val="000000"/>
          <w:sz w:val="24"/>
          <w:szCs w:val="24"/>
        </w:rPr>
        <w:t xml:space="preserve"> діяльності (ст. ст. 12, 13 Закону України від 12 липня 2001 року № 2658-III  «Про оцінку майна, майнових прав та професійну оціночну діяльність в Україні».</w:t>
      </w:r>
    </w:p>
    <w:p w14:paraId="2F802EAA" w14:textId="77777777" w:rsidR="00871C75" w:rsidRPr="00871C75" w:rsidRDefault="00871C75" w:rsidP="00871C75">
      <w:pPr>
        <w:numPr>
          <w:ilvl w:val="0"/>
          <w:numId w:val="37"/>
        </w:numPr>
        <w:spacing w:after="120" w:line="240" w:lineRule="auto"/>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Рецензування Звіту про незалежну оцінку майна здійснюються особами, які відповідно до Закону України «Про оцінку майна, майнових прав та професійну оціночну діяльність в Україні» мають право здійснювати рецензування таких звітів (ст. 13 Закону України від 12 липня 2001 року № 2658-III  «Про оцінку майна, майнових прав та професійну оціночну діяльність в Україні».</w:t>
      </w:r>
    </w:p>
    <w:p w14:paraId="638B0A7E" w14:textId="77777777" w:rsidR="00871C75" w:rsidRPr="00871C75" w:rsidRDefault="00871C75" w:rsidP="00871C75">
      <w:pPr>
        <w:numPr>
          <w:ilvl w:val="0"/>
          <w:numId w:val="37"/>
        </w:numPr>
        <w:spacing w:after="0" w:line="240" w:lineRule="auto"/>
        <w:ind w:hanging="357"/>
        <w:jc w:val="both"/>
        <w:rPr>
          <w:rFonts w:ascii="Times New Roman" w:eastAsia="Arial Unicode MS" w:hAnsi="Times New Roman" w:cs="Times New Roman"/>
          <w:b/>
          <w:color w:val="000000"/>
          <w:sz w:val="24"/>
          <w:szCs w:val="24"/>
        </w:rPr>
      </w:pPr>
      <w:r w:rsidRPr="00871C75">
        <w:rPr>
          <w:rFonts w:ascii="Times New Roman" w:eastAsia="Arial Unicode MS" w:hAnsi="Times New Roman" w:cs="Times New Roman"/>
          <w:b/>
          <w:color w:val="000000"/>
          <w:sz w:val="24"/>
          <w:szCs w:val="24"/>
        </w:rPr>
        <w:t>Виконавець повинен мати:</w:t>
      </w:r>
    </w:p>
    <w:p w14:paraId="681E82B3" w14:textId="77777777" w:rsidR="00871C75" w:rsidRPr="00871C75" w:rsidRDefault="00871C75" w:rsidP="00871C75">
      <w:pPr>
        <w:numPr>
          <w:ilvl w:val="0"/>
          <w:numId w:val="36"/>
        </w:numPr>
        <w:spacing w:after="0" w:line="240" w:lineRule="auto"/>
        <w:ind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 xml:space="preserve">сертифікат </w:t>
      </w:r>
      <w:proofErr w:type="spellStart"/>
      <w:r w:rsidRPr="00871C75">
        <w:rPr>
          <w:rFonts w:ascii="Times New Roman" w:eastAsia="Arial Unicode MS" w:hAnsi="Times New Roman" w:cs="Times New Roman"/>
          <w:color w:val="000000"/>
          <w:sz w:val="24"/>
          <w:szCs w:val="24"/>
        </w:rPr>
        <w:t>субєкта</w:t>
      </w:r>
      <w:proofErr w:type="spellEnd"/>
      <w:r w:rsidRPr="00871C75">
        <w:rPr>
          <w:rFonts w:ascii="Times New Roman" w:eastAsia="Arial Unicode MS" w:hAnsi="Times New Roman" w:cs="Times New Roman"/>
          <w:color w:val="000000"/>
          <w:sz w:val="24"/>
          <w:szCs w:val="24"/>
        </w:rPr>
        <w:t xml:space="preserve"> оціночної діяльності, виданий Фондом державного майна України (для </w:t>
      </w:r>
      <w:proofErr w:type="spellStart"/>
      <w:r w:rsidRPr="00871C75">
        <w:rPr>
          <w:rFonts w:ascii="Times New Roman" w:eastAsia="Arial Unicode MS" w:hAnsi="Times New Roman" w:cs="Times New Roman"/>
          <w:color w:val="000000"/>
          <w:sz w:val="24"/>
          <w:szCs w:val="24"/>
        </w:rPr>
        <w:t>субєкта</w:t>
      </w:r>
      <w:proofErr w:type="spellEnd"/>
      <w:r w:rsidRPr="00871C75">
        <w:rPr>
          <w:rFonts w:ascii="Times New Roman" w:eastAsia="Arial Unicode MS" w:hAnsi="Times New Roman" w:cs="Times New Roman"/>
          <w:color w:val="000000"/>
          <w:sz w:val="24"/>
          <w:szCs w:val="24"/>
        </w:rPr>
        <w:t xml:space="preserve"> господарювання), чинний протягом строку надання послуг;</w:t>
      </w:r>
    </w:p>
    <w:p w14:paraId="758901B0" w14:textId="77777777" w:rsidR="00871C75" w:rsidRPr="00871C75" w:rsidRDefault="00871C75" w:rsidP="00871C75">
      <w:pPr>
        <w:numPr>
          <w:ilvl w:val="0"/>
          <w:numId w:val="36"/>
        </w:numPr>
        <w:spacing w:after="0" w:line="240" w:lineRule="auto"/>
        <w:ind w:hanging="357"/>
        <w:jc w:val="both"/>
        <w:rPr>
          <w:rFonts w:ascii="Times New Roman" w:eastAsia="Arial Unicode MS" w:hAnsi="Times New Roman" w:cs="Times New Roman"/>
          <w:color w:val="000000"/>
          <w:sz w:val="24"/>
          <w:szCs w:val="24"/>
        </w:rPr>
      </w:pPr>
      <w:proofErr w:type="spellStart"/>
      <w:r w:rsidRPr="00871C75">
        <w:rPr>
          <w:rFonts w:ascii="Times New Roman" w:eastAsia="Arial Unicode MS" w:hAnsi="Times New Roman" w:cs="Times New Roman"/>
          <w:color w:val="000000"/>
          <w:sz w:val="24"/>
          <w:szCs w:val="24"/>
        </w:rPr>
        <w:t>кваліфікацвійне</w:t>
      </w:r>
      <w:proofErr w:type="spellEnd"/>
      <w:r w:rsidRPr="00871C75">
        <w:rPr>
          <w:rFonts w:ascii="Times New Roman" w:eastAsia="Arial Unicode MS" w:hAnsi="Times New Roman" w:cs="Times New Roman"/>
          <w:color w:val="000000"/>
          <w:sz w:val="24"/>
          <w:szCs w:val="24"/>
        </w:rPr>
        <w:t xml:space="preserve"> свідоцтво оцінювача разом з посвідченням про підвищення кваліфікації, з підвищенням кваліфікації за програмою підвищення кваліфікації не рідше одного разу на два роки.</w:t>
      </w:r>
    </w:p>
    <w:p w14:paraId="2412B606" w14:textId="77777777" w:rsidR="00871C75" w:rsidRPr="00871C75" w:rsidRDefault="00871C75" w:rsidP="00871C75">
      <w:pPr>
        <w:ind w:left="435"/>
        <w:jc w:val="both"/>
        <w:rPr>
          <w:rFonts w:ascii="Times New Roman" w:eastAsia="Arial Unicode MS" w:hAnsi="Times New Roman" w:cs="Times New Roman"/>
          <w:color w:val="000000"/>
          <w:sz w:val="24"/>
          <w:szCs w:val="24"/>
        </w:rPr>
      </w:pPr>
    </w:p>
    <w:p w14:paraId="7CDDCC08" w14:textId="77777777" w:rsidR="00871C75" w:rsidRPr="00871C75" w:rsidRDefault="00871C75" w:rsidP="00871C75">
      <w:pPr>
        <w:numPr>
          <w:ilvl w:val="0"/>
          <w:numId w:val="37"/>
        </w:numPr>
        <w:spacing w:after="0" w:line="240" w:lineRule="auto"/>
        <w:ind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b/>
          <w:color w:val="000000"/>
          <w:sz w:val="24"/>
          <w:szCs w:val="24"/>
        </w:rPr>
        <w:t>Мета оцінки</w:t>
      </w:r>
      <w:r w:rsidRPr="00871C75">
        <w:rPr>
          <w:rFonts w:ascii="Times New Roman" w:eastAsia="Arial Unicode MS" w:hAnsi="Times New Roman" w:cs="Times New Roman"/>
          <w:color w:val="000000"/>
          <w:sz w:val="24"/>
          <w:szCs w:val="24"/>
        </w:rPr>
        <w:t xml:space="preserve"> – визначення справедливої (ліквідаційної) вартості майна з метою дотримання вимог щодо достовірності даних бухгалтерського обліку та фінансової звітності</w:t>
      </w:r>
    </w:p>
    <w:p w14:paraId="63E95686" w14:textId="77777777" w:rsidR="00871C75" w:rsidRPr="00871C75" w:rsidRDefault="00871C75" w:rsidP="00871C75">
      <w:pPr>
        <w:ind w:left="720"/>
        <w:jc w:val="both"/>
        <w:rPr>
          <w:rFonts w:ascii="Times New Roman" w:eastAsia="Arial Unicode MS" w:hAnsi="Times New Roman" w:cs="Times New Roman"/>
          <w:color w:val="000000"/>
          <w:sz w:val="24"/>
          <w:szCs w:val="24"/>
        </w:rPr>
      </w:pPr>
    </w:p>
    <w:p w14:paraId="09A94A32" w14:textId="77777777" w:rsidR="00871C75" w:rsidRPr="00871C75" w:rsidRDefault="00871C75" w:rsidP="00871C75">
      <w:pPr>
        <w:numPr>
          <w:ilvl w:val="0"/>
          <w:numId w:val="37"/>
        </w:numPr>
        <w:spacing w:after="0" w:line="240" w:lineRule="auto"/>
        <w:ind w:hanging="357"/>
        <w:jc w:val="both"/>
        <w:rPr>
          <w:rFonts w:ascii="Times New Roman" w:eastAsia="Arial Unicode MS" w:hAnsi="Times New Roman" w:cs="Times New Roman"/>
          <w:b/>
          <w:color w:val="000000"/>
          <w:sz w:val="24"/>
          <w:szCs w:val="24"/>
        </w:rPr>
      </w:pPr>
      <w:r w:rsidRPr="00871C75">
        <w:rPr>
          <w:rFonts w:ascii="Times New Roman" w:hAnsi="Times New Roman" w:cs="Times New Roman"/>
          <w:b/>
          <w:sz w:val="24"/>
          <w:szCs w:val="24"/>
        </w:rPr>
        <w:t>Вихідні</w:t>
      </w:r>
      <w:r w:rsidRPr="00871C75">
        <w:rPr>
          <w:rFonts w:ascii="Times New Roman" w:hAnsi="Times New Roman" w:cs="Times New Roman"/>
          <w:b/>
          <w:spacing w:val="-2"/>
          <w:sz w:val="24"/>
          <w:szCs w:val="24"/>
        </w:rPr>
        <w:t xml:space="preserve"> </w:t>
      </w:r>
      <w:r w:rsidRPr="00871C75">
        <w:rPr>
          <w:rFonts w:ascii="Times New Roman" w:hAnsi="Times New Roman" w:cs="Times New Roman"/>
          <w:b/>
          <w:sz w:val="24"/>
          <w:szCs w:val="24"/>
        </w:rPr>
        <w:t>дані,</w:t>
      </w:r>
      <w:r w:rsidRPr="00871C75">
        <w:rPr>
          <w:rFonts w:ascii="Times New Roman" w:hAnsi="Times New Roman" w:cs="Times New Roman"/>
          <w:b/>
          <w:spacing w:val="1"/>
          <w:sz w:val="24"/>
          <w:szCs w:val="24"/>
        </w:rPr>
        <w:t xml:space="preserve"> </w:t>
      </w:r>
      <w:r w:rsidRPr="00871C75">
        <w:rPr>
          <w:rFonts w:ascii="Times New Roman" w:hAnsi="Times New Roman" w:cs="Times New Roman"/>
          <w:b/>
          <w:sz w:val="24"/>
          <w:szCs w:val="24"/>
        </w:rPr>
        <w:t>що</w:t>
      </w:r>
      <w:r w:rsidRPr="00871C75">
        <w:rPr>
          <w:rFonts w:ascii="Times New Roman" w:hAnsi="Times New Roman" w:cs="Times New Roman"/>
          <w:b/>
          <w:spacing w:val="-1"/>
          <w:sz w:val="24"/>
          <w:szCs w:val="24"/>
        </w:rPr>
        <w:t xml:space="preserve"> </w:t>
      </w:r>
      <w:r w:rsidRPr="00871C75">
        <w:rPr>
          <w:rFonts w:ascii="Times New Roman" w:hAnsi="Times New Roman" w:cs="Times New Roman"/>
          <w:b/>
          <w:sz w:val="24"/>
          <w:szCs w:val="24"/>
        </w:rPr>
        <w:t>подаються</w:t>
      </w:r>
      <w:r w:rsidRPr="00871C75">
        <w:rPr>
          <w:rFonts w:ascii="Times New Roman" w:hAnsi="Times New Roman" w:cs="Times New Roman"/>
          <w:b/>
          <w:spacing w:val="-3"/>
          <w:sz w:val="24"/>
          <w:szCs w:val="24"/>
        </w:rPr>
        <w:t xml:space="preserve"> </w:t>
      </w:r>
      <w:r w:rsidRPr="00871C75">
        <w:rPr>
          <w:rFonts w:ascii="Times New Roman" w:hAnsi="Times New Roman" w:cs="Times New Roman"/>
          <w:b/>
          <w:sz w:val="24"/>
          <w:szCs w:val="24"/>
        </w:rPr>
        <w:t>Замовником:</w:t>
      </w:r>
    </w:p>
    <w:p w14:paraId="3E9008C7" w14:textId="77777777" w:rsidR="00871C75" w:rsidRPr="00871C75" w:rsidRDefault="00871C75" w:rsidP="00871C75">
      <w:pPr>
        <w:numPr>
          <w:ilvl w:val="0"/>
          <w:numId w:val="36"/>
        </w:numPr>
        <w:spacing w:after="0" w:line="240" w:lineRule="auto"/>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Технічні характеристики об</w:t>
      </w:r>
      <w:r w:rsidRPr="00871C75">
        <w:rPr>
          <w:rFonts w:ascii="Times New Roman" w:eastAsia="Arial Unicode MS" w:hAnsi="Times New Roman" w:cs="Times New Roman"/>
          <w:color w:val="000000"/>
          <w:sz w:val="24"/>
          <w:szCs w:val="24"/>
          <w:lang w:val="ru-RU"/>
        </w:rPr>
        <w:t>‘</w:t>
      </w:r>
      <w:proofErr w:type="spellStart"/>
      <w:r w:rsidRPr="00871C75">
        <w:rPr>
          <w:rFonts w:ascii="Times New Roman" w:eastAsia="Arial Unicode MS" w:hAnsi="Times New Roman" w:cs="Times New Roman"/>
          <w:color w:val="000000"/>
          <w:sz w:val="24"/>
          <w:szCs w:val="24"/>
        </w:rPr>
        <w:t>єктів</w:t>
      </w:r>
      <w:proofErr w:type="spellEnd"/>
      <w:r w:rsidRPr="00871C75">
        <w:rPr>
          <w:rFonts w:ascii="Times New Roman" w:eastAsia="Arial Unicode MS" w:hAnsi="Times New Roman" w:cs="Times New Roman"/>
          <w:color w:val="000000"/>
          <w:sz w:val="24"/>
          <w:szCs w:val="24"/>
        </w:rPr>
        <w:t xml:space="preserve"> оцінки;</w:t>
      </w:r>
    </w:p>
    <w:p w14:paraId="36AD7F01" w14:textId="77777777" w:rsidR="00871C75" w:rsidRPr="00871C75" w:rsidRDefault="00871C75" w:rsidP="00871C75">
      <w:pPr>
        <w:numPr>
          <w:ilvl w:val="0"/>
          <w:numId w:val="36"/>
        </w:numPr>
        <w:spacing w:after="0" w:line="240" w:lineRule="auto"/>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 xml:space="preserve">Документи на земельні ділянки на яких розташовані </w:t>
      </w:r>
      <w:proofErr w:type="spellStart"/>
      <w:r w:rsidRPr="00871C75">
        <w:rPr>
          <w:rFonts w:ascii="Times New Roman" w:eastAsia="Arial Unicode MS" w:hAnsi="Times New Roman" w:cs="Times New Roman"/>
          <w:color w:val="000000"/>
          <w:sz w:val="24"/>
          <w:szCs w:val="24"/>
        </w:rPr>
        <w:t>обєкти</w:t>
      </w:r>
      <w:proofErr w:type="spellEnd"/>
      <w:r w:rsidRPr="00871C75">
        <w:rPr>
          <w:rFonts w:ascii="Times New Roman" w:eastAsia="Arial Unicode MS" w:hAnsi="Times New Roman" w:cs="Times New Roman"/>
          <w:color w:val="000000"/>
          <w:sz w:val="24"/>
          <w:szCs w:val="24"/>
        </w:rPr>
        <w:t xml:space="preserve"> оцінки (у разі необхідності);</w:t>
      </w:r>
    </w:p>
    <w:p w14:paraId="38EE127E" w14:textId="77777777" w:rsidR="00871C75" w:rsidRPr="00871C75" w:rsidRDefault="00871C75" w:rsidP="00871C75">
      <w:pPr>
        <w:numPr>
          <w:ilvl w:val="0"/>
          <w:numId w:val="36"/>
        </w:numPr>
        <w:spacing w:after="0" w:line="240" w:lineRule="auto"/>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Інші необхідні документи для проведення оцінки (на запит Виконавця).</w:t>
      </w:r>
    </w:p>
    <w:p w14:paraId="20485068" w14:textId="77777777" w:rsidR="00871C75" w:rsidRPr="00871C75" w:rsidRDefault="00871C75" w:rsidP="00871C75">
      <w:pPr>
        <w:pStyle w:val="a7"/>
        <w:rPr>
          <w:rFonts w:ascii="Times New Roman" w:hAnsi="Times New Roman"/>
          <w:szCs w:val="24"/>
          <w:lang w:val="ru-RU"/>
        </w:rPr>
      </w:pPr>
      <w:proofErr w:type="spellStart"/>
      <w:r w:rsidRPr="00871C75">
        <w:rPr>
          <w:rFonts w:ascii="Times New Roman" w:hAnsi="Times New Roman"/>
          <w:szCs w:val="24"/>
          <w:lang w:val="ru-RU"/>
        </w:rPr>
        <w:t>Вихідні</w:t>
      </w:r>
      <w:proofErr w:type="spellEnd"/>
      <w:r w:rsidRPr="00871C75">
        <w:rPr>
          <w:rFonts w:ascii="Times New Roman" w:hAnsi="Times New Roman"/>
          <w:spacing w:val="-2"/>
          <w:szCs w:val="24"/>
          <w:lang w:val="ru-RU"/>
        </w:rPr>
        <w:t xml:space="preserve"> </w:t>
      </w:r>
      <w:proofErr w:type="spellStart"/>
      <w:r w:rsidRPr="00871C75">
        <w:rPr>
          <w:rFonts w:ascii="Times New Roman" w:hAnsi="Times New Roman"/>
          <w:szCs w:val="24"/>
          <w:lang w:val="ru-RU"/>
        </w:rPr>
        <w:t>дані</w:t>
      </w:r>
      <w:proofErr w:type="spellEnd"/>
      <w:r w:rsidRPr="00871C75">
        <w:rPr>
          <w:rFonts w:ascii="Times New Roman" w:hAnsi="Times New Roman"/>
          <w:spacing w:val="-3"/>
          <w:szCs w:val="24"/>
          <w:lang w:val="ru-RU"/>
        </w:rPr>
        <w:t xml:space="preserve"> </w:t>
      </w:r>
      <w:proofErr w:type="spellStart"/>
      <w:r w:rsidRPr="00871C75">
        <w:rPr>
          <w:rFonts w:ascii="Times New Roman" w:hAnsi="Times New Roman"/>
          <w:szCs w:val="24"/>
          <w:lang w:val="ru-RU"/>
        </w:rPr>
        <w:t>надаються</w:t>
      </w:r>
      <w:proofErr w:type="spellEnd"/>
      <w:r w:rsidRPr="00871C75">
        <w:rPr>
          <w:rFonts w:ascii="Times New Roman" w:hAnsi="Times New Roman"/>
          <w:spacing w:val="-4"/>
          <w:szCs w:val="24"/>
          <w:lang w:val="ru-RU"/>
        </w:rPr>
        <w:t xml:space="preserve"> </w:t>
      </w:r>
      <w:proofErr w:type="spellStart"/>
      <w:r w:rsidRPr="00871C75">
        <w:rPr>
          <w:rFonts w:ascii="Times New Roman" w:hAnsi="Times New Roman"/>
          <w:szCs w:val="24"/>
          <w:lang w:val="ru-RU"/>
        </w:rPr>
        <w:t>Замовником</w:t>
      </w:r>
      <w:proofErr w:type="spellEnd"/>
      <w:r w:rsidRPr="00871C75">
        <w:rPr>
          <w:rFonts w:ascii="Times New Roman" w:hAnsi="Times New Roman"/>
          <w:szCs w:val="24"/>
          <w:lang w:val="ru-RU"/>
        </w:rPr>
        <w:t xml:space="preserve"> в 1 </w:t>
      </w:r>
      <w:proofErr w:type="spellStart"/>
      <w:r w:rsidRPr="00871C75">
        <w:rPr>
          <w:rFonts w:ascii="Times New Roman" w:hAnsi="Times New Roman"/>
          <w:szCs w:val="24"/>
          <w:lang w:val="ru-RU"/>
        </w:rPr>
        <w:t>екземплярі</w:t>
      </w:r>
      <w:proofErr w:type="spellEnd"/>
      <w:r w:rsidRPr="00871C75">
        <w:rPr>
          <w:rFonts w:ascii="Times New Roman" w:hAnsi="Times New Roman"/>
          <w:szCs w:val="24"/>
          <w:lang w:val="ru-RU"/>
        </w:rPr>
        <w:t>.</w:t>
      </w:r>
    </w:p>
    <w:p w14:paraId="11415716" w14:textId="77777777" w:rsidR="00871C75" w:rsidRPr="00871C75" w:rsidRDefault="00871C75" w:rsidP="00871C75">
      <w:pPr>
        <w:jc w:val="both"/>
        <w:rPr>
          <w:rFonts w:ascii="Times New Roman" w:eastAsia="Arial Unicode MS" w:hAnsi="Times New Roman" w:cs="Times New Roman"/>
          <w:color w:val="000000"/>
          <w:sz w:val="24"/>
          <w:szCs w:val="24"/>
        </w:rPr>
      </w:pPr>
    </w:p>
    <w:p w14:paraId="12B6AE67" w14:textId="77777777" w:rsidR="00871C75" w:rsidRPr="00871C75" w:rsidRDefault="00871C75" w:rsidP="00871C75">
      <w:pPr>
        <w:numPr>
          <w:ilvl w:val="0"/>
          <w:numId w:val="37"/>
        </w:numPr>
        <w:spacing w:after="0" w:line="240" w:lineRule="auto"/>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b/>
          <w:color w:val="000000"/>
          <w:sz w:val="24"/>
          <w:szCs w:val="24"/>
        </w:rPr>
        <w:t>Термін надання послуг</w:t>
      </w:r>
      <w:r w:rsidRPr="00871C75">
        <w:rPr>
          <w:rFonts w:ascii="Times New Roman" w:eastAsia="Arial Unicode MS" w:hAnsi="Times New Roman" w:cs="Times New Roman"/>
          <w:color w:val="000000"/>
          <w:sz w:val="24"/>
          <w:szCs w:val="24"/>
        </w:rPr>
        <w:t xml:space="preserve"> – до 22.12.2023.</w:t>
      </w:r>
    </w:p>
    <w:p w14:paraId="054D5CDE" w14:textId="77777777" w:rsidR="00871C75" w:rsidRPr="00871C75" w:rsidRDefault="00871C75" w:rsidP="00871C75">
      <w:pPr>
        <w:ind w:left="720"/>
        <w:jc w:val="both"/>
        <w:rPr>
          <w:rFonts w:ascii="Times New Roman" w:eastAsia="Arial Unicode MS" w:hAnsi="Times New Roman" w:cs="Times New Roman"/>
          <w:color w:val="000000"/>
          <w:sz w:val="24"/>
          <w:szCs w:val="24"/>
        </w:rPr>
      </w:pPr>
    </w:p>
    <w:p w14:paraId="03F07403" w14:textId="77777777" w:rsidR="00871C75" w:rsidRPr="00871C75" w:rsidRDefault="00871C75" w:rsidP="00871C75">
      <w:pPr>
        <w:numPr>
          <w:ilvl w:val="0"/>
          <w:numId w:val="37"/>
        </w:numPr>
        <w:spacing w:after="0" w:line="240" w:lineRule="auto"/>
        <w:jc w:val="both"/>
        <w:rPr>
          <w:rFonts w:ascii="Times New Roman" w:eastAsia="Arial Unicode MS" w:hAnsi="Times New Roman" w:cs="Times New Roman"/>
          <w:b/>
          <w:color w:val="000000"/>
          <w:sz w:val="24"/>
          <w:szCs w:val="24"/>
        </w:rPr>
      </w:pPr>
      <w:r w:rsidRPr="00871C75">
        <w:rPr>
          <w:rFonts w:ascii="Times New Roman" w:eastAsia="Arial Unicode MS" w:hAnsi="Times New Roman" w:cs="Times New Roman"/>
          <w:b/>
          <w:color w:val="000000"/>
          <w:sz w:val="24"/>
          <w:szCs w:val="24"/>
        </w:rPr>
        <w:t xml:space="preserve">Основні </w:t>
      </w:r>
      <w:proofErr w:type="spellStart"/>
      <w:r w:rsidRPr="00871C75">
        <w:rPr>
          <w:rFonts w:ascii="Times New Roman" w:eastAsia="Arial Unicode MS" w:hAnsi="Times New Roman" w:cs="Times New Roman"/>
          <w:b/>
          <w:color w:val="000000"/>
          <w:sz w:val="24"/>
          <w:szCs w:val="24"/>
        </w:rPr>
        <w:t>єтапи</w:t>
      </w:r>
      <w:proofErr w:type="spellEnd"/>
      <w:r w:rsidRPr="00871C75">
        <w:rPr>
          <w:rFonts w:ascii="Times New Roman" w:eastAsia="Arial Unicode MS" w:hAnsi="Times New Roman" w:cs="Times New Roman"/>
          <w:b/>
          <w:color w:val="000000"/>
          <w:sz w:val="24"/>
          <w:szCs w:val="24"/>
        </w:rPr>
        <w:t xml:space="preserve"> проведення оцінки об</w:t>
      </w:r>
      <w:r w:rsidRPr="00871C75">
        <w:rPr>
          <w:rFonts w:ascii="Times New Roman" w:eastAsia="Arial Unicode MS" w:hAnsi="Times New Roman" w:cs="Times New Roman"/>
          <w:b/>
          <w:color w:val="000000"/>
          <w:sz w:val="24"/>
          <w:szCs w:val="24"/>
          <w:lang w:val="ru-RU"/>
        </w:rPr>
        <w:t>’</w:t>
      </w:r>
      <w:proofErr w:type="spellStart"/>
      <w:r w:rsidRPr="00871C75">
        <w:rPr>
          <w:rFonts w:ascii="Times New Roman" w:eastAsia="Arial Unicode MS" w:hAnsi="Times New Roman" w:cs="Times New Roman"/>
          <w:b/>
          <w:color w:val="000000"/>
          <w:sz w:val="24"/>
          <w:szCs w:val="24"/>
        </w:rPr>
        <w:t>єктів</w:t>
      </w:r>
      <w:proofErr w:type="spellEnd"/>
      <w:r w:rsidRPr="00871C75">
        <w:rPr>
          <w:rFonts w:ascii="Times New Roman" w:eastAsia="Arial Unicode MS" w:hAnsi="Times New Roman" w:cs="Times New Roman"/>
          <w:b/>
          <w:color w:val="000000"/>
          <w:sz w:val="24"/>
          <w:szCs w:val="24"/>
        </w:rPr>
        <w:t xml:space="preserve">: </w:t>
      </w:r>
    </w:p>
    <w:p w14:paraId="3A9F55E1" w14:textId="77777777" w:rsidR="00871C75" w:rsidRPr="00871C75" w:rsidRDefault="00871C75" w:rsidP="00871C75">
      <w:pPr>
        <w:numPr>
          <w:ilvl w:val="0"/>
          <w:numId w:val="36"/>
        </w:numPr>
        <w:spacing w:after="0" w:line="240" w:lineRule="auto"/>
        <w:ind w:left="431"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ознайомлення з об'єктами оцінки, збирання та оброблення вихідних даних та іншої інформації, необхідної для проведення оцінки;</w:t>
      </w:r>
    </w:p>
    <w:p w14:paraId="0DAE7AD3" w14:textId="77777777" w:rsidR="00871C75" w:rsidRPr="00871C75" w:rsidRDefault="00871C75" w:rsidP="00871C75">
      <w:pPr>
        <w:numPr>
          <w:ilvl w:val="0"/>
          <w:numId w:val="36"/>
        </w:numPr>
        <w:spacing w:after="0" w:line="240" w:lineRule="auto"/>
        <w:ind w:left="431"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вибір необхідних методичних підходів, методів та оціночних процедур, що найбільш повно відповідають меті оцінки та обраній базі, визначеним у договорі на проведення оцінки та їх застосування;</w:t>
      </w:r>
    </w:p>
    <w:p w14:paraId="79AA9B35" w14:textId="77777777" w:rsidR="00871C75" w:rsidRPr="00871C75" w:rsidRDefault="00871C75" w:rsidP="00871C75">
      <w:pPr>
        <w:numPr>
          <w:ilvl w:val="0"/>
          <w:numId w:val="36"/>
        </w:numPr>
        <w:spacing w:after="0" w:line="240" w:lineRule="auto"/>
        <w:ind w:left="431"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узгодження результатів оцінки, отриманих із застосуванням різних методичних підходів;</w:t>
      </w:r>
    </w:p>
    <w:p w14:paraId="2111470D" w14:textId="77777777" w:rsidR="00871C75" w:rsidRPr="00871C75" w:rsidRDefault="00871C75" w:rsidP="00871C75">
      <w:pPr>
        <w:numPr>
          <w:ilvl w:val="0"/>
          <w:numId w:val="36"/>
        </w:numPr>
        <w:spacing w:after="0" w:line="240" w:lineRule="auto"/>
        <w:ind w:left="431"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складання звіту про оцінку майна, висновку про вартість об'єкта оцінки та рецензування звіту на дату оцінки.</w:t>
      </w:r>
    </w:p>
    <w:p w14:paraId="2EDF8EDF" w14:textId="77777777" w:rsidR="00871C75" w:rsidRPr="00871C75" w:rsidRDefault="00871C75" w:rsidP="00871C75">
      <w:pPr>
        <w:pStyle w:val="a7"/>
        <w:rPr>
          <w:rFonts w:ascii="Times New Roman" w:eastAsia="Arial Unicode MS" w:hAnsi="Times New Roman"/>
          <w:color w:val="000000"/>
          <w:szCs w:val="24"/>
        </w:rPr>
      </w:pPr>
    </w:p>
    <w:p w14:paraId="5178CFFC" w14:textId="77777777" w:rsidR="00871C75" w:rsidRPr="00871C75" w:rsidRDefault="00871C75" w:rsidP="00871C75">
      <w:pPr>
        <w:numPr>
          <w:ilvl w:val="0"/>
          <w:numId w:val="37"/>
        </w:numPr>
        <w:spacing w:after="0" w:line="240" w:lineRule="auto"/>
        <w:ind w:hanging="357"/>
        <w:jc w:val="both"/>
        <w:rPr>
          <w:rFonts w:ascii="Times New Roman" w:eastAsia="Arial Unicode MS" w:hAnsi="Times New Roman" w:cs="Times New Roman"/>
          <w:b/>
          <w:color w:val="000000"/>
          <w:sz w:val="24"/>
          <w:szCs w:val="24"/>
        </w:rPr>
      </w:pPr>
      <w:r w:rsidRPr="00871C75">
        <w:rPr>
          <w:rFonts w:ascii="Times New Roman" w:eastAsia="Arial Unicode MS" w:hAnsi="Times New Roman" w:cs="Times New Roman"/>
          <w:b/>
          <w:color w:val="000000"/>
          <w:sz w:val="24"/>
          <w:szCs w:val="24"/>
        </w:rPr>
        <w:t>Документи, які надаються Замовнику:</w:t>
      </w:r>
    </w:p>
    <w:p w14:paraId="22CFE19F" w14:textId="77777777" w:rsidR="00871C75" w:rsidRPr="00871C75" w:rsidRDefault="00871C75" w:rsidP="00871C75">
      <w:pPr>
        <w:numPr>
          <w:ilvl w:val="0"/>
          <w:numId w:val="36"/>
        </w:numPr>
        <w:spacing w:after="0" w:line="240" w:lineRule="auto"/>
        <w:ind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Звіт про незалежну (ліквідаційну) оцінку майна;</w:t>
      </w:r>
    </w:p>
    <w:p w14:paraId="1C0F59E5" w14:textId="77777777" w:rsidR="00871C75" w:rsidRPr="00871C75" w:rsidRDefault="00871C75" w:rsidP="00871C75">
      <w:pPr>
        <w:numPr>
          <w:ilvl w:val="0"/>
          <w:numId w:val="36"/>
        </w:numPr>
        <w:spacing w:after="0" w:line="240" w:lineRule="auto"/>
        <w:ind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Рецензія на звіт про незалежну (ліквідаційну) оцінку майна;</w:t>
      </w:r>
    </w:p>
    <w:p w14:paraId="13F86476" w14:textId="77777777" w:rsidR="00871C75" w:rsidRPr="00871C75" w:rsidRDefault="00871C75" w:rsidP="00871C75">
      <w:pPr>
        <w:numPr>
          <w:ilvl w:val="0"/>
          <w:numId w:val="36"/>
        </w:numPr>
        <w:spacing w:after="0" w:line="240" w:lineRule="auto"/>
        <w:ind w:hanging="357"/>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color w:val="000000"/>
          <w:sz w:val="24"/>
          <w:szCs w:val="24"/>
        </w:rPr>
        <w:t>Акт приймання-передачі Послуг.</w:t>
      </w:r>
    </w:p>
    <w:p w14:paraId="3B32B42C" w14:textId="77777777" w:rsidR="00871C75" w:rsidRPr="00871C75" w:rsidRDefault="00871C75" w:rsidP="00871C75">
      <w:pPr>
        <w:jc w:val="both"/>
        <w:rPr>
          <w:rFonts w:ascii="Times New Roman" w:eastAsia="Arial Unicode MS" w:hAnsi="Times New Roman" w:cs="Times New Roman"/>
          <w:color w:val="000000"/>
          <w:sz w:val="24"/>
          <w:szCs w:val="24"/>
        </w:rPr>
      </w:pPr>
    </w:p>
    <w:p w14:paraId="27827571" w14:textId="7D71D02F" w:rsidR="00871C75" w:rsidRPr="00871C75" w:rsidRDefault="00871C75" w:rsidP="00871C75">
      <w:pPr>
        <w:spacing w:after="120"/>
        <w:jc w:val="both"/>
        <w:rPr>
          <w:rFonts w:ascii="Times New Roman" w:eastAsia="Arial Unicode MS" w:hAnsi="Times New Roman" w:cs="Times New Roman"/>
          <w:color w:val="000000"/>
          <w:sz w:val="24"/>
          <w:szCs w:val="24"/>
        </w:rPr>
      </w:pPr>
      <w:r w:rsidRPr="00871C75">
        <w:rPr>
          <w:rFonts w:ascii="Times New Roman" w:eastAsia="Arial Unicode MS" w:hAnsi="Times New Roman" w:cs="Times New Roman"/>
          <w:b/>
          <w:color w:val="000000"/>
          <w:sz w:val="24"/>
          <w:szCs w:val="24"/>
        </w:rPr>
        <w:tab/>
      </w:r>
    </w:p>
    <w:p w14:paraId="52E02ED7" w14:textId="77777777" w:rsidR="00871C75" w:rsidRPr="00871C75" w:rsidRDefault="00871C75" w:rsidP="00871C75">
      <w:pPr>
        <w:spacing w:before="120" w:after="120"/>
        <w:jc w:val="both"/>
        <w:rPr>
          <w:rFonts w:ascii="Times New Roman" w:eastAsia="Arial Unicode MS" w:hAnsi="Times New Roman" w:cs="Times New Roman"/>
          <w:color w:val="000000"/>
          <w:sz w:val="24"/>
          <w:szCs w:val="24"/>
        </w:rPr>
      </w:pPr>
    </w:p>
    <w:p w14:paraId="7F7734D6" w14:textId="77777777" w:rsidR="00871C75" w:rsidRPr="00871C75" w:rsidRDefault="00871C75" w:rsidP="00871C75">
      <w:pPr>
        <w:ind w:firstLine="770"/>
        <w:jc w:val="both"/>
        <w:rPr>
          <w:rFonts w:ascii="Times New Roman" w:hAnsi="Times New Roman" w:cs="Times New Roman"/>
          <w:b/>
          <w:color w:val="000000"/>
          <w:sz w:val="24"/>
          <w:szCs w:val="24"/>
        </w:rPr>
      </w:pPr>
    </w:p>
    <w:p w14:paraId="7F9A69BE" w14:textId="77777777" w:rsidR="00A52318" w:rsidRPr="00871C75" w:rsidRDefault="00A52318" w:rsidP="00871C75">
      <w:pPr>
        <w:tabs>
          <w:tab w:val="left" w:pos="9000"/>
        </w:tabs>
        <w:spacing w:after="0" w:line="240" w:lineRule="auto"/>
        <w:ind w:firstLine="567"/>
        <w:jc w:val="center"/>
        <w:rPr>
          <w:rFonts w:ascii="Times New Roman" w:hAnsi="Times New Roman" w:cs="Times New Roman"/>
          <w:sz w:val="24"/>
          <w:szCs w:val="24"/>
        </w:rPr>
      </w:pPr>
    </w:p>
    <w:sectPr w:rsidR="00A52318" w:rsidRPr="00871C75" w:rsidSect="00321A21">
      <w:pgSz w:w="11906" w:h="16838"/>
      <w:pgMar w:top="851" w:right="568" w:bottom="568"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67F2B"/>
    <w:multiLevelType w:val="multilevel"/>
    <w:tmpl w:val="F6940F62"/>
    <w:lvl w:ilvl="0">
      <w:start w:val="1"/>
      <w:numFmt w:val="decimal"/>
      <w:pStyle w:val="rvts0"/>
      <w:lvlText w:val="%1."/>
      <w:lvlJc w:val="left"/>
      <w:pPr>
        <w:tabs>
          <w:tab w:val="num" w:pos="1134"/>
        </w:tabs>
        <w:ind w:left="0" w:firstLine="709"/>
      </w:pPr>
      <w:rPr>
        <w:rFonts w:ascii="Times New Roman" w:eastAsia="Times New Roman" w:hAnsi="Times New Roman" w:cs="Times New Roman"/>
        <w:sz w:val="28"/>
      </w:rPr>
    </w:lvl>
    <w:lvl w:ilvl="1">
      <w:start w:val="1"/>
      <w:numFmt w:val="decimal"/>
      <w:pStyle w:val="a"/>
      <w:isLgl/>
      <w:lvlText w:val="%1.%2."/>
      <w:lvlJc w:val="left"/>
      <w:pPr>
        <w:tabs>
          <w:tab w:val="num" w:pos="5104"/>
        </w:tabs>
        <w:ind w:left="3686" w:firstLine="709"/>
      </w:pPr>
      <w:rPr>
        <w:rFonts w:hint="default"/>
      </w:rPr>
    </w:lvl>
    <w:lvl w:ilvl="2">
      <w:start w:val="1"/>
      <w:numFmt w:val="decimal"/>
      <w:pStyle w:val="a0"/>
      <w:lvlText w:val="%1.%2.%3."/>
      <w:lvlJc w:val="left"/>
      <w:pPr>
        <w:tabs>
          <w:tab w:val="num" w:pos="1701"/>
        </w:tabs>
        <w:ind w:left="0" w:firstLine="709"/>
      </w:pPr>
      <w:rPr>
        <w:rFonts w:hint="default"/>
      </w:rPr>
    </w:lvl>
    <w:lvl w:ilvl="3">
      <w:start w:val="1"/>
      <w:numFmt w:val="decimal"/>
      <w:pStyle w:val="1"/>
      <w:lvlText w:val="%1.%2.%3.%4."/>
      <w:lvlJc w:val="left"/>
      <w:pPr>
        <w:tabs>
          <w:tab w:val="num" w:pos="1985"/>
        </w:tabs>
        <w:ind w:left="0" w:firstLine="709"/>
      </w:pPr>
      <w:rPr>
        <w:rFonts w:hint="default"/>
      </w:rPr>
    </w:lvl>
    <w:lvl w:ilvl="4">
      <w:start w:val="1"/>
      <w:numFmt w:val="decimal"/>
      <w:pStyle w:val="2"/>
      <w:lvlText w:val="%1.%2.%3.%4.%5."/>
      <w:lvlJc w:val="left"/>
      <w:pPr>
        <w:tabs>
          <w:tab w:val="num" w:pos="2268"/>
        </w:tabs>
        <w:ind w:left="0" w:firstLine="709"/>
      </w:pPr>
      <w:rPr>
        <w:rFonts w:hint="default"/>
      </w:rPr>
    </w:lvl>
    <w:lvl w:ilvl="5">
      <w:start w:val="1"/>
      <w:numFmt w:val="decimal"/>
      <w:pStyle w:val="3"/>
      <w:lvlText w:val="%1.%2.%3.%4.%5.%6."/>
      <w:lvlJc w:val="left"/>
      <w:pPr>
        <w:tabs>
          <w:tab w:val="num" w:pos="2552"/>
        </w:tabs>
        <w:ind w:left="0" w:firstLine="709"/>
      </w:pPr>
      <w:rPr>
        <w:rFonts w:hint="default"/>
      </w:rPr>
    </w:lvl>
    <w:lvl w:ilvl="6">
      <w:start w:val="1"/>
      <w:numFmt w:val="decimal"/>
      <w:pStyle w:val="4"/>
      <w:lvlText w:val="%1.%2.%3.%4.%5.%6.%7."/>
      <w:lvlJc w:val="left"/>
      <w:pPr>
        <w:tabs>
          <w:tab w:val="num" w:pos="2835"/>
        </w:tabs>
        <w:ind w:left="0" w:firstLine="709"/>
      </w:pPr>
      <w:rPr>
        <w:rFonts w:hint="default"/>
      </w:rPr>
    </w:lvl>
    <w:lvl w:ilvl="7">
      <w:start w:val="1"/>
      <w:numFmt w:val="decimal"/>
      <w:pStyle w:val="5"/>
      <w:lvlText w:val="%1.%2.%3.%4.%5.%6.%7.%8."/>
      <w:lvlJc w:val="left"/>
      <w:pPr>
        <w:tabs>
          <w:tab w:val="num" w:pos="3119"/>
        </w:tabs>
        <w:ind w:left="0" w:firstLine="709"/>
      </w:pPr>
      <w:rPr>
        <w:rFonts w:hint="default"/>
      </w:rPr>
    </w:lvl>
    <w:lvl w:ilvl="8">
      <w:start w:val="1"/>
      <w:numFmt w:val="decimal"/>
      <w:pStyle w:val="6"/>
      <w:lvlText w:val="%1.%2.%3.%4.%5.%6.%7.%8.%9."/>
      <w:lvlJc w:val="left"/>
      <w:pPr>
        <w:tabs>
          <w:tab w:val="num" w:pos="3402"/>
        </w:tabs>
        <w:ind w:left="0" w:firstLine="709"/>
      </w:pPr>
      <w:rPr>
        <w:rFonts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1E3CC0"/>
    <w:multiLevelType w:val="hybridMultilevel"/>
    <w:tmpl w:val="00645392"/>
    <w:lvl w:ilvl="0" w:tplc="786EA0B4">
      <w:start w:val="1"/>
      <w:numFmt w:val="decimal"/>
      <w:pStyle w:val="a1"/>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7F5E4A"/>
    <w:multiLevelType w:val="hybridMultilevel"/>
    <w:tmpl w:val="B6382288"/>
    <w:lvl w:ilvl="0" w:tplc="F30A74B4">
      <w:start w:val="3"/>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4"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5" w15:restartNumberingAfterBreak="0">
    <w:nsid w:val="2AEE1C4E"/>
    <w:multiLevelType w:val="hybridMultilevel"/>
    <w:tmpl w:val="F01AA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8"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2"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4"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6"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7" w15:restartNumberingAfterBreak="0">
    <w:nsid w:val="54E93395"/>
    <w:multiLevelType w:val="multilevel"/>
    <w:tmpl w:val="B6A201EA"/>
    <w:styleLink w:val="10"/>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9"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0CD26DC"/>
    <w:multiLevelType w:val="hybridMultilevel"/>
    <w:tmpl w:val="1CC89E5E"/>
    <w:lvl w:ilvl="0" w:tplc="FE3E147C">
      <w:numFmt w:val="bullet"/>
      <w:pStyle w:val="a2"/>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5"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6"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5"/>
  </w:num>
  <w:num w:numId="2">
    <w:abstractNumId w:val="31"/>
  </w:num>
  <w:num w:numId="3">
    <w:abstractNumId w:val="14"/>
  </w:num>
  <w:num w:numId="4">
    <w:abstractNumId w:val="1"/>
  </w:num>
  <w:num w:numId="5">
    <w:abstractNumId w:val="34"/>
  </w:num>
  <w:num w:numId="6">
    <w:abstractNumId w:val="10"/>
  </w:num>
  <w:num w:numId="7">
    <w:abstractNumId w:val="17"/>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9"/>
  </w:num>
  <w:num w:numId="13">
    <w:abstractNumId w:val="30"/>
  </w:num>
  <w:num w:numId="14">
    <w:abstractNumId w:val="29"/>
  </w:num>
  <w:num w:numId="15">
    <w:abstractNumId w:val="22"/>
  </w:num>
  <w:num w:numId="16">
    <w:abstractNumId w:val="3"/>
  </w:num>
  <w:num w:numId="17">
    <w:abstractNumId w:val="9"/>
  </w:num>
  <w:num w:numId="18">
    <w:abstractNumId w:val="32"/>
  </w:num>
  <w:num w:numId="19">
    <w:abstractNumId w:val="23"/>
  </w:num>
  <w:num w:numId="20">
    <w:abstractNumId w:val="33"/>
  </w:num>
  <w:num w:numId="21">
    <w:abstractNumId w:val="36"/>
  </w:num>
  <w:num w:numId="22">
    <w:abstractNumId w:val="18"/>
  </w:num>
  <w:num w:numId="23">
    <w:abstractNumId w:val="11"/>
  </w:num>
  <w:num w:numId="24">
    <w:abstractNumId w:val="21"/>
  </w:num>
  <w:num w:numId="25">
    <w:abstractNumId w:val="25"/>
  </w:num>
  <w:num w:numId="26">
    <w:abstractNumId w:val="2"/>
  </w:num>
  <w:num w:numId="27">
    <w:abstractNumId w:val="20"/>
  </w:num>
  <w:num w:numId="28">
    <w:abstractNumId w:val="24"/>
  </w:num>
  <w:num w:numId="29">
    <w:abstractNumId w:val="4"/>
  </w:num>
  <w:num w:numId="30">
    <w:abstractNumId w:val="16"/>
  </w:num>
  <w:num w:numId="31">
    <w:abstractNumId w:val="26"/>
  </w:num>
  <w:num w:numId="32">
    <w:abstractNumId w:val="28"/>
  </w:num>
  <w:num w:numId="33">
    <w:abstractNumId w:val="8"/>
  </w:num>
  <w:num w:numId="34">
    <w:abstractNumId w:val="1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21A21"/>
    <w:rsid w:val="003D293D"/>
    <w:rsid w:val="00445877"/>
    <w:rsid w:val="004A33E4"/>
    <w:rsid w:val="00634511"/>
    <w:rsid w:val="00765101"/>
    <w:rsid w:val="007E6D2F"/>
    <w:rsid w:val="00871C75"/>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B72AC"/>
    <w:rPr>
      <w:lang w:val="uk-UA"/>
    </w:rPr>
  </w:style>
  <w:style w:type="paragraph" w:styleId="11">
    <w:name w:val="heading 1"/>
    <w:basedOn w:val="a3"/>
    <w:next w:val="a3"/>
    <w:link w:val="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0">
    <w:name w:val="heading 2"/>
    <w:basedOn w:val="a3"/>
    <w:next w:val="a3"/>
    <w:link w:val="2"/>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0">
    <w:name w:val="heading 3"/>
    <w:basedOn w:val="a3"/>
    <w:next w:val="a3"/>
    <w:link w:val="3"/>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0">
    <w:name w:val="heading 4"/>
    <w:basedOn w:val="a3"/>
    <w:next w:val="a3"/>
    <w:link w:val="4"/>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0">
    <w:name w:val="heading 5"/>
    <w:basedOn w:val="a3"/>
    <w:next w:val="a3"/>
    <w:link w:val="5"/>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0">
    <w:name w:val="heading 6"/>
    <w:basedOn w:val="a3"/>
    <w:next w:val="a3"/>
    <w:link w:val="6"/>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3"/>
    <w:next w:val="a3"/>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3"/>
    <w:next w:val="a3"/>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3"/>
    <w:next w:val="a3"/>
    <w:link w:val="90"/>
    <w:uiPriority w:val="99"/>
    <w:qFormat/>
    <w:rsid w:val="00765101"/>
    <w:pPr>
      <w:spacing w:before="240" w:after="60" w:line="240" w:lineRule="auto"/>
      <w:outlineLvl w:val="8"/>
    </w:pPr>
    <w:rPr>
      <w:rFonts w:ascii="?? °µ" w:eastAsia="Batang" w:hAnsi="?? °µ" w:cs="?? °µ"/>
      <w:lang w:eastAsia="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rvts0">
    <w:name w:val="rvts0"/>
    <w:basedOn w:val="a4"/>
    <w:uiPriority w:val="99"/>
    <w:rsid w:val="002B72AC"/>
  </w:style>
  <w:style w:type="character" w:styleId="a">
    <w:name w:val="Emphasis"/>
    <w:uiPriority w:val="99"/>
    <w:qFormat/>
    <w:rsid w:val="002B72AC"/>
    <w:rPr>
      <w:i/>
      <w:iCs/>
    </w:rPr>
  </w:style>
  <w:style w:type="table" w:styleId="a0">
    <w:name w:val="Table Grid"/>
    <w:basedOn w:val="a5"/>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 Знак"/>
    <w:basedOn w:val="a4"/>
    <w:link w:val="11"/>
    <w:uiPriority w:val="99"/>
    <w:rsid w:val="00765101"/>
    <w:rPr>
      <w:rFonts w:ascii="?? °µ" w:eastAsia="Batang" w:hAnsi="?? °µ" w:cs="Times New Roman"/>
      <w:b/>
      <w:bCs/>
      <w:kern w:val="32"/>
      <w:sz w:val="32"/>
      <w:szCs w:val="32"/>
      <w:lang w:val="uk-UA" w:eastAsia="uk-UA"/>
    </w:rPr>
  </w:style>
  <w:style w:type="character" w:customStyle="1" w:styleId="2">
    <w:name w:val="Заголовок 2 Знак"/>
    <w:basedOn w:val="a4"/>
    <w:link w:val="20"/>
    <w:uiPriority w:val="99"/>
    <w:rsid w:val="00765101"/>
    <w:rPr>
      <w:rFonts w:ascii="?? °µ" w:eastAsia="Batang" w:hAnsi="?? °µ" w:cs="?? °µ"/>
      <w:b/>
      <w:bCs/>
      <w:i/>
      <w:iCs/>
      <w:sz w:val="28"/>
      <w:szCs w:val="28"/>
      <w:lang w:val="uk-UA" w:eastAsia="uk-UA"/>
    </w:rPr>
  </w:style>
  <w:style w:type="character" w:customStyle="1" w:styleId="3">
    <w:name w:val="Заголовок 3 Знак"/>
    <w:basedOn w:val="a4"/>
    <w:link w:val="30"/>
    <w:uiPriority w:val="99"/>
    <w:rsid w:val="00765101"/>
    <w:rPr>
      <w:rFonts w:ascii="?? °µ" w:eastAsia="Batang" w:hAnsi="?? °µ" w:cs="?? °µ"/>
      <w:b/>
      <w:bCs/>
      <w:sz w:val="26"/>
      <w:szCs w:val="26"/>
      <w:lang w:val="uk-UA" w:eastAsia="uk-UA"/>
    </w:rPr>
  </w:style>
  <w:style w:type="character" w:customStyle="1" w:styleId="4">
    <w:name w:val="Заголовок 4 Знак"/>
    <w:basedOn w:val="a4"/>
    <w:link w:val="40"/>
    <w:uiPriority w:val="99"/>
    <w:rsid w:val="00765101"/>
    <w:rPr>
      <w:rFonts w:ascii="?? °µ" w:eastAsia="Batang" w:hAnsi="?? °µ" w:cs="?? °µ"/>
      <w:b/>
      <w:bCs/>
      <w:sz w:val="28"/>
      <w:szCs w:val="28"/>
      <w:lang w:val="uk-UA" w:eastAsia="uk-UA"/>
    </w:rPr>
  </w:style>
  <w:style w:type="character" w:customStyle="1" w:styleId="5">
    <w:name w:val="Заголовок 5 Знак"/>
    <w:basedOn w:val="a4"/>
    <w:link w:val="50"/>
    <w:uiPriority w:val="99"/>
    <w:rsid w:val="00765101"/>
    <w:rPr>
      <w:rFonts w:eastAsiaTheme="minorEastAsia"/>
      <w:b/>
      <w:bCs/>
      <w:i/>
      <w:iCs/>
      <w:sz w:val="26"/>
      <w:szCs w:val="26"/>
      <w:lang w:val="uk-UA" w:eastAsia="ru-RU"/>
    </w:rPr>
  </w:style>
  <w:style w:type="character" w:customStyle="1" w:styleId="6">
    <w:name w:val="Заголовок 6 Знак"/>
    <w:basedOn w:val="a4"/>
    <w:link w:val="60"/>
    <w:uiPriority w:val="99"/>
    <w:rsid w:val="00765101"/>
    <w:rPr>
      <w:rFonts w:ascii="?? °µ" w:eastAsia="Batang" w:hAnsi="?? °µ" w:cs="?? °µ"/>
      <w:b/>
      <w:bCs/>
      <w:lang w:val="uk-UA" w:eastAsia="uk-UA"/>
    </w:rPr>
  </w:style>
  <w:style w:type="character" w:customStyle="1" w:styleId="70">
    <w:name w:val="Заголовок 7 Знак"/>
    <w:basedOn w:val="a4"/>
    <w:link w:val="7"/>
    <w:uiPriority w:val="99"/>
    <w:rsid w:val="00765101"/>
    <w:rPr>
      <w:rFonts w:ascii="?? °µ" w:eastAsia="Batang" w:hAnsi="?? °µ" w:cs="?? °µ"/>
      <w:sz w:val="24"/>
      <w:szCs w:val="24"/>
      <w:lang w:val="uk-UA" w:eastAsia="uk-UA"/>
    </w:rPr>
  </w:style>
  <w:style w:type="character" w:customStyle="1" w:styleId="80">
    <w:name w:val="Заголовок 8 Знак"/>
    <w:basedOn w:val="a4"/>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4"/>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3"/>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3"/>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4"/>
    <w:link w:val="a9"/>
    <w:rsid w:val="00765101"/>
    <w:rPr>
      <w:rFonts w:ascii="Times New Roman" w:eastAsia="Batang" w:hAnsi="Times New Roman" w:cs="Times New Roman"/>
      <w:sz w:val="24"/>
      <w:szCs w:val="24"/>
      <w:lang w:val="uk-UA" w:eastAsia="ru-RU"/>
    </w:rPr>
  </w:style>
  <w:style w:type="paragraph" w:styleId="ab">
    <w:name w:val="Body Text"/>
    <w:basedOn w:val="a3"/>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4"/>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3"/>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3"/>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3"/>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4"/>
    <w:link w:val="af"/>
    <w:uiPriority w:val="99"/>
    <w:rsid w:val="00765101"/>
    <w:rPr>
      <w:rFonts w:ascii="Calibri" w:eastAsia="Times New Roman" w:hAnsi="Calibri" w:cs="Times New Roman"/>
      <w:sz w:val="24"/>
      <w:szCs w:val="24"/>
      <w:lang w:val="uk-UA" w:eastAsia="ru-RU"/>
    </w:rPr>
  </w:style>
  <w:style w:type="paragraph" w:styleId="af1">
    <w:name w:val="footer"/>
    <w:basedOn w:val="a3"/>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4"/>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3"/>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4"/>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2">
    <w:name w:val="_тире"/>
    <w:basedOn w:val="a3"/>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1">
    <w:name w:val="_номер+)"/>
    <w:basedOn w:val="a3"/>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4"/>
    <w:uiPriority w:val="99"/>
    <w:semiHidden/>
    <w:rsid w:val="00765101"/>
    <w:rPr>
      <w:sz w:val="16"/>
      <w:szCs w:val="16"/>
    </w:rPr>
  </w:style>
  <w:style w:type="paragraph" w:styleId="af9">
    <w:name w:val="annotation text"/>
    <w:basedOn w:val="a3"/>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4"/>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3"/>
    <w:next w:val="a3"/>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3"/>
    <w:next w:val="a3"/>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3"/>
    <w:next w:val="a3"/>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3"/>
    <w:next w:val="a3"/>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3"/>
    <w:next w:val="a3"/>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3"/>
    <w:next w:val="a3"/>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3"/>
    <w:next w:val="a3"/>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3"/>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3"/>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qFormat/>
    <w:rsid w:val="00765101"/>
    <w:pPr>
      <w:tabs>
        <w:tab w:val="clear" w:pos="1134"/>
        <w:tab w:val="num" w:pos="1418"/>
      </w:tabs>
    </w:pPr>
  </w:style>
  <w:style w:type="paragraph" w:customStyle="1" w:styleId="32">
    <w:name w:val="Номер3"/>
    <w:basedOn w:val="21"/>
    <w:rsid w:val="00765101"/>
    <w:pPr>
      <w:tabs>
        <w:tab w:val="clear" w:pos="1418"/>
        <w:tab w:val="num" w:pos="1701"/>
      </w:tabs>
    </w:pPr>
  </w:style>
  <w:style w:type="paragraph" w:customStyle="1" w:styleId="42">
    <w:name w:val="Номер4"/>
    <w:basedOn w:val="32"/>
    <w:rsid w:val="00765101"/>
    <w:pPr>
      <w:tabs>
        <w:tab w:val="clear" w:pos="1701"/>
        <w:tab w:val="num" w:pos="1985"/>
      </w:tabs>
    </w:pPr>
  </w:style>
  <w:style w:type="paragraph" w:customStyle="1" w:styleId="52">
    <w:name w:val="Номер5"/>
    <w:basedOn w:val="42"/>
    <w:rsid w:val="00765101"/>
    <w:pPr>
      <w:tabs>
        <w:tab w:val="clear" w:pos="1985"/>
        <w:tab w:val="num" w:pos="2268"/>
      </w:tabs>
    </w:pPr>
  </w:style>
  <w:style w:type="paragraph" w:customStyle="1" w:styleId="62">
    <w:name w:val="Номер6"/>
    <w:basedOn w:val="52"/>
    <w:rsid w:val="00765101"/>
    <w:pPr>
      <w:tabs>
        <w:tab w:val="clear" w:pos="2268"/>
        <w:tab w:val="num" w:pos="2552"/>
      </w:tabs>
    </w:pPr>
  </w:style>
  <w:style w:type="paragraph" w:customStyle="1" w:styleId="74">
    <w:name w:val="Номер7"/>
    <w:basedOn w:val="62"/>
    <w:rsid w:val="00765101"/>
    <w:pPr>
      <w:tabs>
        <w:tab w:val="clear" w:pos="2552"/>
        <w:tab w:val="num" w:pos="2835"/>
      </w:tabs>
    </w:pPr>
  </w:style>
  <w:style w:type="paragraph" w:customStyle="1" w:styleId="82">
    <w:name w:val="Номер8"/>
    <w:basedOn w:val="74"/>
    <w:rsid w:val="00765101"/>
    <w:pPr>
      <w:tabs>
        <w:tab w:val="clear" w:pos="2835"/>
        <w:tab w:val="num" w:pos="3119"/>
      </w:tabs>
    </w:pPr>
  </w:style>
  <w:style w:type="paragraph" w:customStyle="1" w:styleId="92">
    <w:name w:val="Номер9"/>
    <w:basedOn w:val="82"/>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3"/>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3"/>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3"/>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3"/>
    <w:next w:val="a3"/>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4"/>
    <w:link w:val="aff3"/>
    <w:uiPriority w:val="99"/>
    <w:rsid w:val="00765101"/>
    <w:rPr>
      <w:rFonts w:ascii="?? °µ" w:eastAsia="Batang" w:hAnsi="?? °µ" w:cs="?? °µ"/>
      <w:b/>
      <w:bCs/>
      <w:kern w:val="28"/>
      <w:sz w:val="32"/>
      <w:szCs w:val="32"/>
      <w:lang w:val="uk-UA" w:eastAsia="uk-UA"/>
    </w:rPr>
  </w:style>
  <w:style w:type="paragraph" w:styleId="aff5">
    <w:name w:val="Subtitle"/>
    <w:basedOn w:val="a3"/>
    <w:next w:val="a3"/>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4"/>
    <w:link w:val="aff5"/>
    <w:uiPriority w:val="99"/>
    <w:rsid w:val="00765101"/>
    <w:rPr>
      <w:rFonts w:ascii="?? °µ" w:eastAsia="Batang" w:hAnsi="?? °µ" w:cs="?? °µ"/>
      <w:sz w:val="24"/>
      <w:szCs w:val="24"/>
      <w:lang w:val="uk-UA" w:eastAsia="uk-UA"/>
    </w:rPr>
  </w:style>
  <w:style w:type="paragraph" w:customStyle="1" w:styleId="14">
    <w:name w:val="Цитата1"/>
    <w:basedOn w:val="a3"/>
    <w:next w:val="a3"/>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3"/>
    <w:next w:val="a3"/>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3"/>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4"/>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3"/>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3"/>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3"/>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4"/>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3"/>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3"/>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3"/>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3"/>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3"/>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3"/>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4"/>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0">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3"/>
    <w:link w:val="28"/>
    <w:unhideWhenUsed/>
    <w:rsid w:val="00765101"/>
    <w:pPr>
      <w:spacing w:after="120" w:line="480" w:lineRule="auto"/>
    </w:pPr>
    <w:rPr>
      <w:lang w:val="ru-RU" w:eastAsia="ru-RU"/>
    </w:rPr>
  </w:style>
  <w:style w:type="character" w:customStyle="1" w:styleId="210">
    <w:name w:val="Основной текст 2 Знак1"/>
    <w:basedOn w:val="a4"/>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6933</Words>
  <Characters>3952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19</cp:revision>
  <cp:lastPrinted>2023-12-04T06:41:00Z</cp:lastPrinted>
  <dcterms:created xsi:type="dcterms:W3CDTF">2021-03-31T12:56:00Z</dcterms:created>
  <dcterms:modified xsi:type="dcterms:W3CDTF">2023-12-04T06:44:00Z</dcterms:modified>
</cp:coreProperties>
</file>