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40185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BB2F15">
        <w:t>Послуги з розподілу електричної енергії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BB2F15">
        <w:t>65310000-9</w:t>
      </w:r>
      <w:r w:rsidR="00F86DA2">
        <w:t xml:space="preserve"> </w:t>
      </w:r>
      <w:r w:rsidR="00BB2F15">
        <w:t>Розподіл електричної енергії</w:t>
      </w:r>
    </w:p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3B5B83" w:rsidRPr="003B5B83">
        <w:rPr>
          <w:lang w:val="en-US"/>
        </w:rPr>
        <w:t>UA</w:t>
      </w:r>
      <w:r w:rsidR="003B5B83" w:rsidRPr="003B5B83">
        <w:t>-2024-01-11-002150-</w:t>
      </w:r>
      <w:r w:rsidR="003B5B83" w:rsidRPr="003B5B83">
        <w:rPr>
          <w:lang w:val="en-US"/>
        </w:rPr>
        <w:t>a</w:t>
      </w:r>
    </w:p>
    <w:p w:rsidR="00F86DA2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FA629F" w:rsidRPr="00FA629F" w:rsidRDefault="00FA629F" w:rsidP="00FA629F">
      <w:pPr>
        <w:tabs>
          <w:tab w:val="left" w:pos="142"/>
        </w:tabs>
        <w:ind w:firstLine="567"/>
        <w:jc w:val="both"/>
      </w:pPr>
      <w:r w:rsidRPr="00FA629F">
        <w:t>П</w:t>
      </w:r>
      <w:r w:rsidR="00F5688E">
        <w:t xml:space="preserve">ублічне акціонерне товариство </w:t>
      </w:r>
      <w:r w:rsidRPr="00FA629F">
        <w:t>«Черкасиобленерго»</w:t>
      </w:r>
      <w:r w:rsidR="00F5688E">
        <w:t xml:space="preserve"> (далі – Черкасиобленерго)</w:t>
      </w:r>
      <w:r w:rsidRPr="00FA629F">
        <w:t xml:space="preserve">, </w:t>
      </w:r>
      <w:r>
        <w:t xml:space="preserve">діє </w:t>
      </w:r>
      <w:r w:rsidRPr="00FA629F">
        <w:t>як оператор системи розподілу електричної енергії,</w:t>
      </w:r>
      <w:r>
        <w:t xml:space="preserve"> </w:t>
      </w:r>
      <w:r w:rsidR="00F5688E" w:rsidRPr="00FA629F">
        <w:t>відповідно</w:t>
      </w:r>
      <w:r w:rsidR="00F5688E">
        <w:t xml:space="preserve"> до </w:t>
      </w:r>
      <w:r>
        <w:t xml:space="preserve">Закону України </w:t>
      </w:r>
      <w:r w:rsidR="00F5688E">
        <w:t xml:space="preserve">«Про ринок електричної енергії», </w:t>
      </w:r>
      <w:r w:rsidR="00F5688E" w:rsidRPr="00FA629F">
        <w:t xml:space="preserve">постанов НКРЕКП «Про затвердження Правил </w:t>
      </w:r>
      <w:proofErr w:type="spellStart"/>
      <w:r w:rsidR="00F5688E" w:rsidRPr="00FA629F">
        <w:t>розрібного</w:t>
      </w:r>
      <w:proofErr w:type="spellEnd"/>
      <w:r w:rsidR="00F5688E" w:rsidRPr="00FA629F">
        <w:t xml:space="preserve"> ринку електричної енергії», «Про затвердження Кодексу комерційного обліку електричної енергії», «Про затвердження Кодексу системи розподілу»</w:t>
      </w:r>
      <w:r w:rsidR="00F5688E">
        <w:t xml:space="preserve"> та інших нормативно-правових актів у сфері розподілу електричної енергії, </w:t>
      </w:r>
      <w:r w:rsidR="00F5688E" w:rsidRPr="00FA629F">
        <w:t>ліцензі</w:t>
      </w:r>
      <w:r w:rsidR="00F5688E">
        <w:t>ї</w:t>
      </w:r>
      <w:r w:rsidR="00F5688E" w:rsidRPr="00FA629F">
        <w:t xml:space="preserve"> з розподілу електричної енергії</w:t>
      </w:r>
      <w:r w:rsidR="00F5688E" w:rsidRPr="00F5688E">
        <w:t xml:space="preserve"> </w:t>
      </w:r>
      <w:r w:rsidR="00F5688E" w:rsidRPr="00FA629F">
        <w:t>місцевими (локальними) лініями електропередачі в Черкаській області</w:t>
      </w:r>
      <w:r w:rsidR="00F5688E">
        <w:t xml:space="preserve">, затвердженої </w:t>
      </w:r>
      <w:r w:rsidRPr="00FA629F">
        <w:t>постанов</w:t>
      </w:r>
      <w:r w:rsidR="00F5688E">
        <w:t>ою НКРЕКП від 16.11.2018 № 1447</w:t>
      </w:r>
      <w:r w:rsidRPr="00FA629F">
        <w:t>.</w:t>
      </w:r>
    </w:p>
    <w:p w:rsidR="00FA629F" w:rsidRPr="00673CD2" w:rsidRDefault="00FA629F" w:rsidP="00F5688E">
      <w:pPr>
        <w:tabs>
          <w:tab w:val="left" w:pos="142"/>
        </w:tabs>
        <w:ind w:firstLine="567"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2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</w:t>
      </w:r>
      <w:proofErr w:type="spellStart"/>
      <w:r w:rsidRPr="00673CD2">
        <w:rPr>
          <w:color w:val="000000" w:themeColor="text1"/>
          <w:lang w:val="ru-RU"/>
        </w:rPr>
        <w:t>від</w:t>
      </w:r>
      <w:proofErr w:type="spellEnd"/>
      <w:r w:rsidRPr="00673CD2">
        <w:rPr>
          <w:color w:val="000000" w:themeColor="text1"/>
          <w:lang w:val="ru-RU"/>
        </w:rPr>
        <w:t xml:space="preserve"> 20.04.2000 р. № 1682-ІІІ </w:t>
      </w:r>
      <w:proofErr w:type="spellStart"/>
      <w:r w:rsidRPr="00673CD2">
        <w:rPr>
          <w:color w:val="000000" w:themeColor="text1"/>
          <w:lang w:val="ru-RU"/>
        </w:rPr>
        <w:t>зведений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на </w:t>
      </w:r>
      <w:proofErr w:type="spellStart"/>
      <w:r w:rsidRPr="00673CD2">
        <w:rPr>
          <w:color w:val="000000" w:themeColor="text1"/>
          <w:lang w:val="ru-RU"/>
        </w:rPr>
        <w:t>підставі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житлово-комунального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господарства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формуються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національною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комісією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здійснює </w:t>
      </w:r>
      <w:proofErr w:type="spellStart"/>
      <w:r w:rsidRPr="00673CD2">
        <w:rPr>
          <w:color w:val="000000" w:themeColor="text1"/>
          <w:lang w:val="ru-RU"/>
        </w:rPr>
        <w:t>державне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комунальних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послуг</w:t>
      </w:r>
      <w:proofErr w:type="spellEnd"/>
      <w:r w:rsidRPr="00673CD2">
        <w:rPr>
          <w:color w:val="000000" w:themeColor="text1"/>
          <w:lang w:val="ru-RU"/>
        </w:rPr>
        <w:t xml:space="preserve">, а в </w:t>
      </w:r>
      <w:proofErr w:type="spellStart"/>
      <w:r w:rsidRPr="00673CD2">
        <w:rPr>
          <w:color w:val="000000" w:themeColor="text1"/>
          <w:lang w:val="ru-RU"/>
        </w:rPr>
        <w:t>інших</w:t>
      </w:r>
      <w:proofErr w:type="spellEnd"/>
      <w:r w:rsidRPr="00673CD2">
        <w:rPr>
          <w:color w:val="000000" w:themeColor="text1"/>
          <w:lang w:val="ru-RU"/>
        </w:rPr>
        <w:t xml:space="preserve"> сферах, у </w:t>
      </w:r>
      <w:proofErr w:type="spellStart"/>
      <w:r w:rsidRPr="00673CD2">
        <w:rPr>
          <w:color w:val="000000" w:themeColor="text1"/>
          <w:lang w:val="ru-RU"/>
        </w:rPr>
        <w:t>яких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— </w:t>
      </w:r>
      <w:proofErr w:type="spellStart"/>
      <w:r w:rsidRPr="00673CD2">
        <w:rPr>
          <w:color w:val="000000" w:themeColor="text1"/>
          <w:lang w:val="ru-RU"/>
        </w:rPr>
        <w:t>національними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комісіями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відповідній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або</w:t>
      </w:r>
      <w:proofErr w:type="spellEnd"/>
      <w:r w:rsidRPr="00673CD2">
        <w:rPr>
          <w:color w:val="000000" w:themeColor="text1"/>
          <w:lang w:val="ru-RU"/>
        </w:rPr>
        <w:t xml:space="preserve"> органами </w:t>
      </w:r>
      <w:proofErr w:type="spellStart"/>
      <w:r w:rsidRPr="00673CD2">
        <w:rPr>
          <w:color w:val="000000" w:themeColor="text1"/>
          <w:lang w:val="ru-RU"/>
        </w:rPr>
        <w:t>виконавчої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влади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здійснюють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функції</w:t>
      </w:r>
      <w:proofErr w:type="spellEnd"/>
      <w:r w:rsidRPr="00673CD2">
        <w:rPr>
          <w:color w:val="000000" w:themeColor="text1"/>
          <w:lang w:val="ru-RU"/>
        </w:rPr>
        <w:t xml:space="preserve"> такого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створення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зазначених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комісій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FA629F" w:rsidRDefault="00FA629F" w:rsidP="00FA629F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73CD2">
        <w:rPr>
          <w:color w:val="000000" w:themeColor="text1"/>
          <w:lang w:val="ru-RU"/>
        </w:rPr>
        <w:t xml:space="preserve">У </w:t>
      </w:r>
      <w:proofErr w:type="spellStart"/>
      <w:r w:rsidRPr="00673CD2">
        <w:rPr>
          <w:color w:val="000000" w:themeColor="text1"/>
          <w:lang w:val="ru-RU"/>
        </w:rPr>
        <w:t>зв’язку</w:t>
      </w:r>
      <w:proofErr w:type="spellEnd"/>
      <w:r w:rsidRPr="00673CD2">
        <w:rPr>
          <w:color w:val="000000" w:themeColor="text1"/>
          <w:lang w:val="ru-RU"/>
        </w:rPr>
        <w:t xml:space="preserve"> з </w:t>
      </w:r>
      <w:proofErr w:type="spellStart"/>
      <w:r w:rsidRPr="00673CD2">
        <w:rPr>
          <w:color w:val="000000" w:themeColor="text1"/>
          <w:lang w:val="ru-RU"/>
        </w:rPr>
        <w:t>введенням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воєнного</w:t>
      </w:r>
      <w:proofErr w:type="spellEnd"/>
      <w:r w:rsidRPr="00673CD2">
        <w:rPr>
          <w:color w:val="000000" w:themeColor="text1"/>
          <w:lang w:val="ru-RU"/>
        </w:rPr>
        <w:t xml:space="preserve"> стану в </w:t>
      </w:r>
      <w:proofErr w:type="spellStart"/>
      <w:r w:rsidRPr="00673CD2">
        <w:rPr>
          <w:color w:val="000000" w:themeColor="text1"/>
          <w:lang w:val="ru-RU"/>
        </w:rPr>
        <w:t>Україні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відсутній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вільний</w:t>
      </w:r>
      <w:proofErr w:type="spellEnd"/>
      <w:r w:rsidRPr="00673CD2">
        <w:rPr>
          <w:color w:val="000000" w:themeColor="text1"/>
          <w:lang w:val="ru-RU"/>
        </w:rPr>
        <w:t xml:space="preserve"> доступ до </w:t>
      </w:r>
      <w:proofErr w:type="spellStart"/>
      <w:r w:rsidRPr="00673CD2">
        <w:rPr>
          <w:color w:val="000000" w:themeColor="text1"/>
          <w:lang w:val="ru-RU"/>
        </w:rPr>
        <w:t>деякої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публічної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інформації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міститься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державних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реєстрах</w:t>
      </w:r>
      <w:proofErr w:type="spellEnd"/>
      <w:r w:rsidRPr="00673CD2">
        <w:rPr>
          <w:color w:val="000000" w:themeColor="text1"/>
          <w:lang w:val="ru-RU"/>
        </w:rPr>
        <w:t xml:space="preserve">, у тому </w:t>
      </w:r>
      <w:proofErr w:type="spellStart"/>
      <w:r w:rsidRPr="00673CD2">
        <w:rPr>
          <w:color w:val="000000" w:themeColor="text1"/>
          <w:lang w:val="ru-RU"/>
        </w:rPr>
        <w:t>числі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зведеного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переліку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>).</w:t>
      </w:r>
      <w:r w:rsidRPr="007C2BD8">
        <w:rPr>
          <w:color w:val="000000" w:themeColor="text1"/>
          <w:sz w:val="28"/>
          <w:szCs w:val="28"/>
          <w:lang w:val="ru-RU"/>
        </w:rPr>
        <w:t xml:space="preserve"> </w:t>
      </w:r>
    </w:p>
    <w:p w:rsidR="00FA629F" w:rsidRDefault="00FA629F" w:rsidP="00FA629F">
      <w:pPr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За останніми опублікованими даними станом на </w:t>
      </w:r>
      <w:r w:rsidR="003B5B83" w:rsidRPr="003B5B83">
        <w:rPr>
          <w:color w:val="000000" w:themeColor="text1"/>
          <w:lang w:val="ru-RU"/>
        </w:rPr>
        <w:t>18</w:t>
      </w:r>
      <w:r w:rsidR="003B5B83">
        <w:rPr>
          <w:color w:val="000000" w:themeColor="text1"/>
        </w:rPr>
        <w:t>.12.2023</w:t>
      </w:r>
      <w:r>
        <w:rPr>
          <w:color w:val="000000" w:themeColor="text1"/>
        </w:rPr>
        <w:t xml:space="preserve"> </w:t>
      </w:r>
      <w:r w:rsidR="003B5B83">
        <w:rPr>
          <w:color w:val="000000" w:themeColor="text1"/>
        </w:rPr>
        <w:t>ПАТ «</w:t>
      </w:r>
      <w:proofErr w:type="spellStart"/>
      <w:r w:rsidR="00F5688E">
        <w:rPr>
          <w:color w:val="000000" w:themeColor="text1"/>
        </w:rPr>
        <w:t>Черкасиобленерго</w:t>
      </w:r>
      <w:proofErr w:type="spellEnd"/>
      <w:r w:rsidR="003B5B83">
        <w:rPr>
          <w:color w:val="000000" w:themeColor="text1"/>
        </w:rPr>
        <w:t>»</w:t>
      </w:r>
      <w:r>
        <w:rPr>
          <w:color w:val="000000" w:themeColor="text1"/>
        </w:rPr>
        <w:t xml:space="preserve"> має </w:t>
      </w:r>
      <w:r w:rsidRPr="00673CD2">
        <w:t>монопольн</w:t>
      </w:r>
      <w:r>
        <w:t>е</w:t>
      </w:r>
      <w:r w:rsidRPr="00673CD2">
        <w:t xml:space="preserve"> становищ</w:t>
      </w:r>
      <w:r>
        <w:t>е</w:t>
      </w:r>
      <w:r w:rsidRPr="00673CD2">
        <w:t xml:space="preserve"> на</w:t>
      </w:r>
      <w:r w:rsidRPr="00673CD2">
        <w:rPr>
          <w:b/>
        </w:rPr>
        <w:t xml:space="preserve"> </w:t>
      </w:r>
      <w:r w:rsidRPr="00673CD2">
        <w:t xml:space="preserve">ринку </w:t>
      </w:r>
      <w:r w:rsidR="00104176">
        <w:t xml:space="preserve">послуг з </w:t>
      </w:r>
      <w:r w:rsidR="00F5688E">
        <w:t>розподілу електричної енергії</w:t>
      </w:r>
      <w:r w:rsidRPr="00673CD2">
        <w:t xml:space="preserve"> за адресою </w:t>
      </w:r>
      <w:r>
        <w:t>надання послуг:</w:t>
      </w:r>
      <w:r w:rsidRPr="00673CD2">
        <w:t xml:space="preserve"> вул. Остафія Дашковича, буд. </w:t>
      </w:r>
      <w:smartTag w:uri="urn:schemas-microsoft-com:office:smarttags" w:element="metricconverter">
        <w:smartTagPr>
          <w:attr w:name="ProductID" w:val="76 м"/>
        </w:smartTagPr>
        <w:r w:rsidRPr="00673CD2">
          <w:t>76 м</w:t>
        </w:r>
      </w:smartTag>
      <w:r w:rsidRPr="00673CD2">
        <w:t>. Черкаси, Черкаська область,</w:t>
      </w:r>
      <w:r>
        <w:t xml:space="preserve"> відповідно до Схеми балансової належності </w:t>
      </w:r>
      <w:r w:rsidR="00104176">
        <w:t xml:space="preserve">електричних </w:t>
      </w:r>
      <w:r>
        <w:t>мереж,</w:t>
      </w:r>
      <w:r w:rsidRPr="00673CD2">
        <w:t xml:space="preserve"> </w:t>
      </w:r>
      <w:r>
        <w:t>Черкаси</w:t>
      </w:r>
      <w:r w:rsidR="00104176">
        <w:t>обленерго</w:t>
      </w:r>
      <w:r>
        <w:t xml:space="preserve"> включено до </w:t>
      </w:r>
      <w:r w:rsidRPr="00673CD2">
        <w:t>Зведеного переліку суб’єктів природних монополій</w:t>
      </w:r>
      <w:r>
        <w:t>,</w:t>
      </w:r>
      <w:r w:rsidRPr="00673CD2">
        <w:t xml:space="preserve"> зазначене підтверджується позицією за № </w:t>
      </w:r>
      <w:r w:rsidR="003B5B83">
        <w:t>55</w:t>
      </w:r>
      <w:r>
        <w:t xml:space="preserve"> згаданого переліку.</w:t>
      </w:r>
    </w:p>
    <w:p w:rsidR="00FA629F" w:rsidRPr="00B75DFD" w:rsidRDefault="00FA629F" w:rsidP="00FA629F">
      <w:pPr>
        <w:ind w:firstLine="567"/>
        <w:contextualSpacing/>
        <w:jc w:val="both"/>
        <w:rPr>
          <w:color w:val="000000" w:themeColor="text1"/>
        </w:rPr>
      </w:pPr>
      <w:r w:rsidRPr="00B75DFD">
        <w:rPr>
          <w:color w:val="000000" w:themeColor="text1"/>
        </w:rPr>
        <w:t xml:space="preserve">У зв’язку  з вищевикладеним послуги з </w:t>
      </w:r>
      <w:r w:rsidR="00104176">
        <w:rPr>
          <w:color w:val="000000" w:themeColor="text1"/>
        </w:rPr>
        <w:t>розподілу електричної енергії</w:t>
      </w:r>
      <w:r>
        <w:rPr>
          <w:color w:val="000000" w:themeColor="text1"/>
        </w:rPr>
        <w:t xml:space="preserve">, за адресою </w:t>
      </w:r>
      <w:r w:rsidR="00104176">
        <w:rPr>
          <w:color w:val="000000" w:themeColor="text1"/>
        </w:rPr>
        <w:t>надання послуг</w:t>
      </w:r>
      <w:r>
        <w:rPr>
          <w:color w:val="000000" w:themeColor="text1"/>
        </w:rPr>
        <w:t>:</w:t>
      </w:r>
      <w:r w:rsidRPr="00B75DFD">
        <w:t xml:space="preserve"> </w:t>
      </w:r>
      <w:r w:rsidRPr="00673CD2">
        <w:t>вул. Остафія Дашковича, буд. 76</w:t>
      </w:r>
      <w:r w:rsidR="00104176">
        <w:t>,</w:t>
      </w:r>
      <w:r w:rsidRPr="00673CD2">
        <w:t xml:space="preserve"> м. Черкаси, Черкаська область</w:t>
      </w:r>
      <w:r>
        <w:t>,</w:t>
      </w:r>
      <w:r w:rsidRPr="00B75DFD">
        <w:rPr>
          <w:color w:val="000000" w:themeColor="text1"/>
        </w:rPr>
        <w:t xml:space="preserve"> можуть бути надані виключно </w:t>
      </w:r>
      <w:r w:rsidR="00104176">
        <w:t>ПАТ «Черкасиобленерго»</w:t>
      </w:r>
      <w:r>
        <w:t xml:space="preserve">, </w:t>
      </w:r>
      <w:r w:rsidRPr="00B75DFD">
        <w:rPr>
          <w:color w:val="000000" w:themeColor="text1"/>
        </w:rPr>
        <w:t>у зв’язку з відсутністю конкуренції з технічних причин.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3B5B83">
        <w:t>4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964E6F" w:rsidRPr="007A7ABC" w:rsidRDefault="00B75DFD" w:rsidP="007919B9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3B5B83">
        <w:t>143565,10</w:t>
      </w:r>
      <w:r>
        <w:t xml:space="preserve"> грн з ПДВ визначено на підставі</w:t>
      </w:r>
      <w:r w:rsidR="008B5B9C">
        <w:t xml:space="preserve"> Закон</w:t>
      </w:r>
      <w:r w:rsidR="00C53D88">
        <w:t>у</w:t>
      </w:r>
      <w:r w:rsidR="008B5B9C">
        <w:t xml:space="preserve"> України  </w:t>
      </w:r>
      <w:r w:rsidR="008B5B9C">
        <w:lastRenderedPageBreak/>
        <w:t>«Про ринок електричної енергії»,</w:t>
      </w:r>
      <w:r>
        <w:t xml:space="preserve"> </w:t>
      </w:r>
      <w:r w:rsidR="008B5B9C">
        <w:t xml:space="preserve">постанови НКРЕКП від </w:t>
      </w:r>
      <w:r w:rsidR="00DD4713">
        <w:t>21.12.2022</w:t>
      </w:r>
      <w:r w:rsidR="008B5B9C">
        <w:t xml:space="preserve"> № </w:t>
      </w:r>
      <w:r w:rsidR="00DD4713">
        <w:t xml:space="preserve">1812, 2-го класу напруги, </w:t>
      </w:r>
      <w:r w:rsidR="00C53D88">
        <w:t>визначеного</w:t>
      </w:r>
      <w:r w:rsidR="00DD4713">
        <w:t xml:space="preserve"> договор</w:t>
      </w:r>
      <w:r w:rsidR="00C53D88">
        <w:t>ом</w:t>
      </w:r>
      <w:r w:rsidR="00DD4713">
        <w:t xml:space="preserve"> споживача з розподілу електричної енергії від 16.09.2021           № 7172(21/2012)</w:t>
      </w:r>
      <w:r w:rsidR="00C53D88">
        <w:t xml:space="preserve">, </w:t>
      </w:r>
      <w:r w:rsidR="008B5B9C">
        <w:t xml:space="preserve">та обсягу закупівлі, </w:t>
      </w:r>
      <w:r w:rsidR="00C53D88">
        <w:t>затвердженого</w:t>
      </w:r>
      <w:r w:rsidR="008B5B9C">
        <w:t xml:space="preserve"> наказ</w:t>
      </w:r>
      <w:r w:rsidR="00C53D88">
        <w:t>ом</w:t>
      </w:r>
      <w:r w:rsidR="008B5B9C">
        <w:t xml:space="preserve"> Держмитслужби від </w:t>
      </w:r>
      <w:r w:rsidR="003B5B83">
        <w:t>20.12.2023</w:t>
      </w:r>
      <w:r w:rsidR="00D54467">
        <w:t xml:space="preserve"> </w:t>
      </w:r>
      <w:r w:rsidR="00DD4713">
        <w:t xml:space="preserve">          </w:t>
      </w:r>
      <w:r w:rsidR="00D54467">
        <w:t xml:space="preserve">№ </w:t>
      </w:r>
      <w:r w:rsidR="003B5B83">
        <w:t>201</w:t>
      </w:r>
      <w:r w:rsidR="00D54467">
        <w:t xml:space="preserve">-аг «Про затвердження Зведеного розподілу лімітів споживання теплової, електричної енергії, природнього і скрапленого газу та води в натуральних показниках по Держмитслужбі та її територіальних органах, що фінансуються з Державного бюджету </w:t>
      </w:r>
      <w:r w:rsidR="00B1647E">
        <w:t>Ук</w:t>
      </w:r>
      <w:r w:rsidR="00D54467">
        <w:t>раїни</w:t>
      </w:r>
      <w:r w:rsidR="003B5B83">
        <w:t>,</w:t>
      </w:r>
      <w:r w:rsidR="00D54467">
        <w:t xml:space="preserve"> на 202</w:t>
      </w:r>
      <w:r w:rsidR="003B5B83">
        <w:t>4</w:t>
      </w:r>
      <w:r w:rsidR="00D54467">
        <w:t xml:space="preserve"> рік». </w:t>
      </w:r>
      <w:r w:rsidR="008B5B9C">
        <w:t xml:space="preserve"> </w:t>
      </w:r>
    </w:p>
    <w:p w:rsidR="007B3889" w:rsidRDefault="007B3889" w:rsidP="00B55A90">
      <w:pPr>
        <w:tabs>
          <w:tab w:val="left" w:pos="851"/>
        </w:tabs>
        <w:ind w:firstLine="567"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9251F2">
        <w:t xml:space="preserve">відповідно підпункту </w:t>
      </w:r>
      <w:r w:rsidR="003B5B83">
        <w:t xml:space="preserve">5 пункту </w:t>
      </w:r>
      <w:bookmarkStart w:id="0" w:name="_GoBack"/>
      <w:bookmarkEnd w:id="0"/>
      <w:r w:rsidR="009251F2">
        <w:t>13 Особливостей, закупівля без використання електронної системи закупівель застосовується замовником як виняток у разі, якщо роботи, товари  чи послуги можуть бути виконані, поставлені чи надані виключно певним  суб’єктом господарювання за наявності одного з випадків, серед яких відсутність конкуренції з технічних причин, здійснюється замовником без застосування відкритих торгів.</w:t>
      </w:r>
    </w:p>
    <w:p w:rsidR="0040185C" w:rsidRDefault="0040185C" w:rsidP="00B55A90">
      <w:pPr>
        <w:tabs>
          <w:tab w:val="left" w:pos="851"/>
        </w:tabs>
        <w:ind w:firstLine="567"/>
        <w:jc w:val="both"/>
      </w:pPr>
    </w:p>
    <w:p w:rsidR="0040185C" w:rsidRDefault="0040185C" w:rsidP="00B55A90">
      <w:pPr>
        <w:tabs>
          <w:tab w:val="left" w:pos="851"/>
        </w:tabs>
        <w:ind w:firstLine="567"/>
        <w:jc w:val="both"/>
      </w:pPr>
    </w:p>
    <w:p w:rsidR="0040185C" w:rsidRPr="00D54467" w:rsidRDefault="0040185C" w:rsidP="0040185C">
      <w:pPr>
        <w:tabs>
          <w:tab w:val="left" w:pos="851"/>
        </w:tabs>
        <w:jc w:val="both"/>
      </w:pPr>
    </w:p>
    <w:sectPr w:rsidR="0040185C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473" w:rsidRDefault="00E03473">
      <w:r>
        <w:separator/>
      </w:r>
    </w:p>
  </w:endnote>
  <w:endnote w:type="continuationSeparator" w:id="0">
    <w:p w:rsidR="00E03473" w:rsidRDefault="00E0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206030504050203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473" w:rsidRDefault="00E03473">
      <w:r>
        <w:separator/>
      </w:r>
    </w:p>
  </w:footnote>
  <w:footnote w:type="continuationSeparator" w:id="0">
    <w:p w:rsidR="00E03473" w:rsidRDefault="00E03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4D6C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176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4AD9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D8C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B5B83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185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45C9C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251F2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2F15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3D88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471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03473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688E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474F"/>
    <w:rsid w:val="00F953D7"/>
    <w:rsid w:val="00F97A66"/>
    <w:rsid w:val="00FA1C56"/>
    <w:rsid w:val="00FA5F70"/>
    <w:rsid w:val="00FA629F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B0D1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3065</Words>
  <Characters>1748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2024-01-22T12:48:00Z</dcterms:created>
  <dcterms:modified xsi:type="dcterms:W3CDTF">2024-01-22T12:48:00Z</dcterms:modified>
</cp:coreProperties>
</file>