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0452" w14:textId="77777777" w:rsidR="00A22D61" w:rsidRDefault="00A22D61">
      <w:pPr>
        <w:ind w:firstLine="357"/>
        <w:jc w:val="center"/>
        <w:rPr>
          <w:b/>
          <w:bCs/>
        </w:rPr>
      </w:pPr>
    </w:p>
    <w:p w14:paraId="133F86A8" w14:textId="77777777" w:rsidR="00A22D61" w:rsidRDefault="000F5409">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071D8C73" w14:textId="77777777" w:rsidR="00A22D61" w:rsidRDefault="000F5409">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13A1D675" w14:textId="77777777" w:rsidR="00A22D61" w:rsidRDefault="00A22D61">
      <w:pPr>
        <w:contextualSpacing/>
        <w:jc w:val="center"/>
        <w:rPr>
          <w:b/>
          <w:sz w:val="28"/>
          <w:szCs w:val="28"/>
        </w:rPr>
      </w:pPr>
    </w:p>
    <w:p w14:paraId="42AD0AF3" w14:textId="77777777" w:rsidR="00A22D61" w:rsidRDefault="00A22D61">
      <w:pPr>
        <w:contextualSpacing/>
        <w:jc w:val="center"/>
        <w:rPr>
          <w:b/>
          <w:sz w:val="28"/>
          <w:szCs w:val="28"/>
        </w:rPr>
      </w:pPr>
    </w:p>
    <w:p w14:paraId="0389F691" w14:textId="77777777" w:rsidR="00A22D61" w:rsidRDefault="000F5409">
      <w:pPr>
        <w:ind w:firstLine="709"/>
        <w:contextualSpacing/>
        <w:jc w:val="both"/>
        <w:rPr>
          <w:sz w:val="28"/>
          <w:szCs w:val="28"/>
        </w:rPr>
      </w:pPr>
      <w:r>
        <w:rPr>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w:t>
      </w:r>
      <w:proofErr w:type="spellStart"/>
      <w:r>
        <w:rPr>
          <w:sz w:val="28"/>
          <w:szCs w:val="28"/>
        </w:rPr>
        <w:t>м.Харків</w:t>
      </w:r>
      <w:proofErr w:type="spellEnd"/>
      <w:r>
        <w:rPr>
          <w:sz w:val="28"/>
          <w:szCs w:val="28"/>
        </w:rPr>
        <w:t>, вул. Короленка, 16Б, 61003; категорія замовника – орган державної  влади.</w:t>
      </w:r>
    </w:p>
    <w:p w14:paraId="5EC4D238" w14:textId="77777777" w:rsidR="00A22D61" w:rsidRDefault="00A22D61">
      <w:pPr>
        <w:contextualSpacing/>
        <w:jc w:val="both"/>
        <w:rPr>
          <w:sz w:val="28"/>
          <w:szCs w:val="28"/>
        </w:rPr>
      </w:pPr>
    </w:p>
    <w:p w14:paraId="51B18398" w14:textId="57F32D68" w:rsidR="00F70691" w:rsidRDefault="000F5409">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906AE" w:rsidRPr="00E906AE">
        <w:rPr>
          <w:sz w:val="28"/>
          <w:szCs w:val="28"/>
        </w:rPr>
        <w:t>Конверт немаркований самоклеючий з захисною стрічкою (формат DL (110x220мм) з віконцем)</w:t>
      </w:r>
      <w:r w:rsidR="00F70691" w:rsidRPr="0064353C">
        <w:rPr>
          <w:sz w:val="28"/>
          <w:szCs w:val="28"/>
        </w:rPr>
        <w:t>, що відповідає коду ДК 021</w:t>
      </w:r>
      <w:r w:rsidR="00F70691" w:rsidRPr="00F70691">
        <w:rPr>
          <w:sz w:val="28"/>
          <w:szCs w:val="28"/>
        </w:rPr>
        <w:t>:</w:t>
      </w:r>
      <w:r w:rsidR="00F70691" w:rsidRPr="0064353C">
        <w:rPr>
          <w:sz w:val="28"/>
          <w:szCs w:val="28"/>
        </w:rPr>
        <w:t>2015:</w:t>
      </w:r>
      <w:r w:rsidR="00F70691" w:rsidRPr="00F70691">
        <w:rPr>
          <w:sz w:val="28"/>
          <w:szCs w:val="28"/>
        </w:rPr>
        <w:t xml:space="preserve"> </w:t>
      </w:r>
      <w:r w:rsidR="00E906AE" w:rsidRPr="00E906AE">
        <w:rPr>
          <w:sz w:val="28"/>
          <w:szCs w:val="28"/>
        </w:rPr>
        <w:t>30190000-7: Офісне устаткування та приладдя різне</w:t>
      </w:r>
      <w:r w:rsidR="00F70691">
        <w:rPr>
          <w:sz w:val="28"/>
          <w:szCs w:val="28"/>
        </w:rPr>
        <w:t>.</w:t>
      </w:r>
    </w:p>
    <w:p w14:paraId="017223A5" w14:textId="77777777" w:rsidR="00A22D61" w:rsidRDefault="00A22D61">
      <w:pPr>
        <w:spacing w:after="160" w:line="259" w:lineRule="auto"/>
        <w:ind w:left="360"/>
        <w:contextualSpacing/>
        <w:jc w:val="both"/>
        <w:rPr>
          <w:sz w:val="28"/>
          <w:szCs w:val="28"/>
        </w:rPr>
      </w:pPr>
    </w:p>
    <w:p w14:paraId="3E00A775" w14:textId="7B997F1B" w:rsidR="00F70691" w:rsidRDefault="000F5409" w:rsidP="00F70691">
      <w:pPr>
        <w:ind w:firstLine="709"/>
        <w:contextualSpacing/>
        <w:jc w:val="both"/>
        <w:rPr>
          <w:sz w:val="28"/>
          <w:szCs w:val="28"/>
        </w:rPr>
      </w:pPr>
      <w:r>
        <w:rPr>
          <w:sz w:val="28"/>
          <w:szCs w:val="28"/>
        </w:rPr>
        <w:t xml:space="preserve">3. Ідентифікатор закупівлі: </w:t>
      </w:r>
      <w:r w:rsidR="00E906AE" w:rsidRPr="00E906AE">
        <w:rPr>
          <w:sz w:val="28"/>
          <w:szCs w:val="28"/>
        </w:rPr>
        <w:t>UA-2024-02-15-006409-a</w:t>
      </w:r>
    </w:p>
    <w:p w14:paraId="461DA19E" w14:textId="77777777" w:rsidR="00F70691" w:rsidRDefault="00F70691" w:rsidP="00F70691">
      <w:pPr>
        <w:ind w:firstLine="709"/>
        <w:contextualSpacing/>
        <w:jc w:val="both"/>
        <w:rPr>
          <w:sz w:val="28"/>
          <w:szCs w:val="28"/>
        </w:rPr>
      </w:pPr>
    </w:p>
    <w:p w14:paraId="3156D009" w14:textId="2F3C7927" w:rsidR="00A22D61" w:rsidRDefault="000F5409"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14:paraId="6A77B0B6" w14:textId="5E8922DE" w:rsidR="00A22D61" w:rsidRDefault="000F5409">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E906AE">
        <w:rPr>
          <w:sz w:val="28"/>
          <w:szCs w:val="28"/>
        </w:rPr>
        <w:t>к</w:t>
      </w:r>
      <w:r w:rsidR="00E906AE" w:rsidRPr="00E906AE">
        <w:rPr>
          <w:sz w:val="28"/>
          <w:szCs w:val="28"/>
        </w:rPr>
        <w:t>онверт</w:t>
      </w:r>
      <w:r w:rsidR="00E906AE">
        <w:rPr>
          <w:sz w:val="28"/>
          <w:szCs w:val="28"/>
        </w:rPr>
        <w:t>ів</w:t>
      </w:r>
      <w:r w:rsidR="00E906AE" w:rsidRPr="00E906AE">
        <w:rPr>
          <w:sz w:val="28"/>
          <w:szCs w:val="28"/>
        </w:rPr>
        <w:t xml:space="preserve"> немарковани</w:t>
      </w:r>
      <w:r w:rsidR="00E906AE">
        <w:rPr>
          <w:sz w:val="28"/>
          <w:szCs w:val="28"/>
        </w:rPr>
        <w:t>х</w:t>
      </w:r>
      <w:r w:rsidR="00E906AE" w:rsidRPr="00E906AE">
        <w:rPr>
          <w:sz w:val="28"/>
          <w:szCs w:val="28"/>
        </w:rPr>
        <w:t xml:space="preserve"> самоклеючи</w:t>
      </w:r>
      <w:r w:rsidR="00E906AE">
        <w:rPr>
          <w:sz w:val="28"/>
          <w:szCs w:val="28"/>
        </w:rPr>
        <w:t>х</w:t>
      </w:r>
      <w:r w:rsidR="00E906AE" w:rsidRPr="00E906AE">
        <w:rPr>
          <w:sz w:val="28"/>
          <w:szCs w:val="28"/>
        </w:rPr>
        <w:t xml:space="preserve"> з захисною стрічкою (формат DL (110x220мм) з віконцем)</w:t>
      </w:r>
      <w:r w:rsidR="00E906AE">
        <w:rPr>
          <w:sz w:val="28"/>
          <w:szCs w:val="28"/>
        </w:rPr>
        <w:t xml:space="preserve"> у кількості 6000 штук</w:t>
      </w:r>
      <w:r>
        <w:rPr>
          <w:sz w:val="28"/>
          <w:szCs w:val="28"/>
        </w:rPr>
        <w:t>, необхідно забезпечити такі технічні та якісні характеристики предмета закупівлі:</w:t>
      </w:r>
    </w:p>
    <w:p w14:paraId="0CC32A99" w14:textId="77777777" w:rsidR="00A22D61" w:rsidRDefault="00A22D61">
      <w:pPr>
        <w:widowControl w:val="0"/>
        <w:tabs>
          <w:tab w:val="center" w:pos="709"/>
          <w:tab w:val="right" w:pos="8306"/>
        </w:tabs>
        <w:ind w:firstLine="737"/>
        <w:contextualSpacing/>
        <w:jc w:val="both"/>
        <w:rPr>
          <w:sz w:val="28"/>
          <w:szCs w:val="28"/>
        </w:rPr>
      </w:pPr>
    </w:p>
    <w:p w14:paraId="5F7DDF67" w14:textId="543C1659" w:rsidR="00E906AE" w:rsidRPr="00E906AE" w:rsidRDefault="000F5409" w:rsidP="00E906AE">
      <w:pPr>
        <w:tabs>
          <w:tab w:val="left" w:pos="1134"/>
        </w:tabs>
        <w:ind w:firstLine="709"/>
        <w:jc w:val="both"/>
        <w:rPr>
          <w:sz w:val="28"/>
          <w:szCs w:val="28"/>
        </w:rPr>
      </w:pPr>
      <w:r>
        <w:rPr>
          <w:sz w:val="28"/>
          <w:szCs w:val="28"/>
        </w:rPr>
        <w:t>4.</w:t>
      </w:r>
      <w:r w:rsidRPr="000F5409">
        <w:rPr>
          <w:sz w:val="28"/>
          <w:szCs w:val="28"/>
        </w:rPr>
        <w:t>1.</w:t>
      </w:r>
      <w:r w:rsidR="00E906AE" w:rsidRPr="00E906AE">
        <w:rPr>
          <w:sz w:val="28"/>
          <w:szCs w:val="28"/>
        </w:rPr>
        <w:t xml:space="preserve"> Вимоги до технічних характеристик предмета закупівлі:</w:t>
      </w:r>
    </w:p>
    <w:p w14:paraId="7AF06AC0" w14:textId="77777777" w:rsidR="00E906AE" w:rsidRPr="00A92C01" w:rsidRDefault="00E906AE" w:rsidP="00E906AE">
      <w:pPr>
        <w:pStyle w:val="af5"/>
        <w:spacing w:after="57"/>
        <w:ind w:firstLine="405"/>
        <w:rPr>
          <w:bCs/>
          <w:sz w:val="16"/>
          <w:szCs w:val="16"/>
        </w:rPr>
      </w:pPr>
    </w:p>
    <w:tbl>
      <w:tblPr>
        <w:tblpPr w:leftFromText="180" w:rightFromText="180" w:vertAnchor="text" w:tblpX="216"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5614"/>
      </w:tblGrid>
      <w:tr w:rsidR="00E906AE" w:rsidRPr="00A92C01" w14:paraId="292EAB5D" w14:textId="77777777" w:rsidTr="00905D79">
        <w:trPr>
          <w:trHeight w:val="350"/>
        </w:trPr>
        <w:tc>
          <w:tcPr>
            <w:tcW w:w="3708" w:type="dxa"/>
          </w:tcPr>
          <w:p w14:paraId="743C3D03" w14:textId="77777777" w:rsidR="00E906AE" w:rsidRPr="009C0648" w:rsidRDefault="00E906AE" w:rsidP="00905D79">
            <w:pPr>
              <w:jc w:val="center"/>
              <w:rPr>
                <w:highlight w:val="white"/>
              </w:rPr>
            </w:pPr>
            <w:r w:rsidRPr="009C0648">
              <w:rPr>
                <w:highlight w:val="white"/>
              </w:rPr>
              <w:t>Назва параметру</w:t>
            </w:r>
          </w:p>
        </w:tc>
        <w:tc>
          <w:tcPr>
            <w:tcW w:w="5614" w:type="dxa"/>
          </w:tcPr>
          <w:p w14:paraId="45FD8045" w14:textId="77777777" w:rsidR="00E906AE" w:rsidRPr="009C0648" w:rsidRDefault="00E906AE" w:rsidP="00905D79">
            <w:pPr>
              <w:ind w:left="-284"/>
              <w:jc w:val="center"/>
            </w:pPr>
            <w:r w:rsidRPr="009C0648">
              <w:t>Технічні вимоги</w:t>
            </w:r>
          </w:p>
        </w:tc>
      </w:tr>
      <w:tr w:rsidR="00E906AE" w:rsidRPr="00A92C01" w14:paraId="5974C133" w14:textId="77777777" w:rsidTr="00905D79">
        <w:tc>
          <w:tcPr>
            <w:tcW w:w="3708" w:type="dxa"/>
          </w:tcPr>
          <w:p w14:paraId="7E70CF85" w14:textId="77777777" w:rsidR="00E906AE" w:rsidRPr="009C0648" w:rsidRDefault="00E906AE" w:rsidP="00905D79">
            <w:pPr>
              <w:tabs>
                <w:tab w:val="left" w:pos="174"/>
              </w:tabs>
              <w:spacing w:line="256" w:lineRule="auto"/>
            </w:pPr>
            <w:r w:rsidRPr="009C0648">
              <w:t>Формат</w:t>
            </w:r>
          </w:p>
        </w:tc>
        <w:tc>
          <w:tcPr>
            <w:tcW w:w="5614" w:type="dxa"/>
          </w:tcPr>
          <w:p w14:paraId="48D61F1F" w14:textId="77777777" w:rsidR="00E906AE" w:rsidRPr="009C0648" w:rsidRDefault="00E906AE" w:rsidP="00905D79">
            <w:pPr>
              <w:tabs>
                <w:tab w:val="left" w:pos="35"/>
              </w:tabs>
              <w:ind w:left="35"/>
            </w:pPr>
            <w:r w:rsidRPr="009C0648">
              <w:rPr>
                <w:lang w:val="en-US"/>
              </w:rPr>
              <w:t>DL</w:t>
            </w:r>
            <w:r w:rsidRPr="009C0648">
              <w:t xml:space="preserve"> (110х220мм) євро (0+0)</w:t>
            </w:r>
          </w:p>
        </w:tc>
      </w:tr>
      <w:tr w:rsidR="00E906AE" w:rsidRPr="00A92C01" w14:paraId="58F393C0" w14:textId="77777777" w:rsidTr="00905D79">
        <w:tc>
          <w:tcPr>
            <w:tcW w:w="3708" w:type="dxa"/>
          </w:tcPr>
          <w:p w14:paraId="6F24B2AB" w14:textId="77777777" w:rsidR="00E906AE" w:rsidRPr="009C0648" w:rsidRDefault="00E906AE" w:rsidP="00905D79">
            <w:pPr>
              <w:tabs>
                <w:tab w:val="left" w:pos="174"/>
              </w:tabs>
              <w:spacing w:line="256" w:lineRule="auto"/>
            </w:pPr>
            <w:r w:rsidRPr="009C0648">
              <w:t>Тип склеювання</w:t>
            </w:r>
          </w:p>
        </w:tc>
        <w:tc>
          <w:tcPr>
            <w:tcW w:w="5614" w:type="dxa"/>
          </w:tcPr>
          <w:p w14:paraId="6DE72E99" w14:textId="77777777" w:rsidR="00E906AE" w:rsidRPr="009C0648" w:rsidRDefault="00E906AE" w:rsidP="00905D79">
            <w:pPr>
              <w:tabs>
                <w:tab w:val="left" w:pos="35"/>
              </w:tabs>
              <w:ind w:left="35"/>
            </w:pPr>
            <w:r w:rsidRPr="009C0648">
              <w:t>СКЛ ( шар силіконового клею закритий захисною стрічкою)</w:t>
            </w:r>
          </w:p>
        </w:tc>
      </w:tr>
      <w:tr w:rsidR="00E906AE" w:rsidRPr="00A92C01" w14:paraId="020AD507" w14:textId="77777777" w:rsidTr="00905D79">
        <w:tc>
          <w:tcPr>
            <w:tcW w:w="3708" w:type="dxa"/>
          </w:tcPr>
          <w:p w14:paraId="13780372" w14:textId="77777777" w:rsidR="00E906AE" w:rsidRPr="009C0648" w:rsidRDefault="00E906AE" w:rsidP="00905D79">
            <w:pPr>
              <w:tabs>
                <w:tab w:val="left" w:pos="174"/>
              </w:tabs>
              <w:spacing w:line="256" w:lineRule="auto"/>
            </w:pPr>
            <w:r w:rsidRPr="009C0648">
              <w:t>Клапан</w:t>
            </w:r>
          </w:p>
        </w:tc>
        <w:tc>
          <w:tcPr>
            <w:tcW w:w="5614" w:type="dxa"/>
          </w:tcPr>
          <w:p w14:paraId="7E28E5F5" w14:textId="77777777" w:rsidR="00E906AE" w:rsidRPr="009C0648" w:rsidRDefault="00E906AE" w:rsidP="00905D79">
            <w:pPr>
              <w:tabs>
                <w:tab w:val="left" w:pos="35"/>
              </w:tabs>
              <w:ind w:left="35"/>
            </w:pPr>
            <w:r w:rsidRPr="009C0648">
              <w:t>Прямокутний, розташування верхнє (по довшому краю)</w:t>
            </w:r>
          </w:p>
        </w:tc>
      </w:tr>
      <w:tr w:rsidR="00E906AE" w:rsidRPr="00A92C01" w14:paraId="677279B2" w14:textId="77777777" w:rsidTr="00905D79">
        <w:tc>
          <w:tcPr>
            <w:tcW w:w="3708" w:type="dxa"/>
          </w:tcPr>
          <w:p w14:paraId="749B2C1B" w14:textId="77777777" w:rsidR="00E906AE" w:rsidRPr="009C0648" w:rsidRDefault="00E906AE" w:rsidP="00905D79">
            <w:pPr>
              <w:tabs>
                <w:tab w:val="left" w:pos="174"/>
              </w:tabs>
              <w:spacing w:line="256" w:lineRule="auto"/>
            </w:pPr>
            <w:r w:rsidRPr="009C0648">
              <w:t>Наявність адресних вказівок</w:t>
            </w:r>
          </w:p>
        </w:tc>
        <w:tc>
          <w:tcPr>
            <w:tcW w:w="5614" w:type="dxa"/>
          </w:tcPr>
          <w:p w14:paraId="7FF7FB59" w14:textId="77777777" w:rsidR="00E906AE" w:rsidRPr="009C0648" w:rsidRDefault="00E906AE" w:rsidP="00905D79">
            <w:pPr>
              <w:tabs>
                <w:tab w:val="left" w:pos="35"/>
              </w:tabs>
              <w:ind w:left="35"/>
            </w:pPr>
            <w:r w:rsidRPr="009C0648">
              <w:t>Немає</w:t>
            </w:r>
          </w:p>
        </w:tc>
      </w:tr>
      <w:tr w:rsidR="00E906AE" w:rsidRPr="00A92C01" w14:paraId="34D4C921" w14:textId="77777777" w:rsidTr="00905D79">
        <w:tc>
          <w:tcPr>
            <w:tcW w:w="3708" w:type="dxa"/>
          </w:tcPr>
          <w:p w14:paraId="2DB37EF4" w14:textId="77777777" w:rsidR="00E906AE" w:rsidRPr="009C0648" w:rsidRDefault="00E906AE" w:rsidP="00905D79">
            <w:pPr>
              <w:tabs>
                <w:tab w:val="left" w:pos="174"/>
              </w:tabs>
              <w:spacing w:line="256" w:lineRule="auto"/>
            </w:pPr>
            <w:r w:rsidRPr="009C0648">
              <w:t>Оформлення лицевої сторони</w:t>
            </w:r>
          </w:p>
        </w:tc>
        <w:tc>
          <w:tcPr>
            <w:tcW w:w="5614" w:type="dxa"/>
          </w:tcPr>
          <w:p w14:paraId="5A1A0F96" w14:textId="77777777" w:rsidR="00E906AE" w:rsidRPr="009C0648" w:rsidRDefault="00E906AE" w:rsidP="00905D79">
            <w:pPr>
              <w:tabs>
                <w:tab w:val="left" w:pos="35"/>
              </w:tabs>
              <w:ind w:left="35"/>
            </w:pPr>
            <w:r w:rsidRPr="009C0648">
              <w:t>Немаркований простий</w:t>
            </w:r>
          </w:p>
        </w:tc>
      </w:tr>
      <w:tr w:rsidR="00E906AE" w:rsidRPr="00A92C01" w14:paraId="30460D21" w14:textId="77777777" w:rsidTr="00905D79">
        <w:tc>
          <w:tcPr>
            <w:tcW w:w="3708" w:type="dxa"/>
          </w:tcPr>
          <w:p w14:paraId="6234D672" w14:textId="77777777" w:rsidR="00E906AE" w:rsidRPr="009C0648" w:rsidRDefault="00E906AE" w:rsidP="00905D79">
            <w:pPr>
              <w:tabs>
                <w:tab w:val="left" w:pos="174"/>
              </w:tabs>
              <w:spacing w:line="256" w:lineRule="auto"/>
            </w:pPr>
            <w:r w:rsidRPr="009C0648">
              <w:t>Матеріал для виготовлення</w:t>
            </w:r>
          </w:p>
        </w:tc>
        <w:tc>
          <w:tcPr>
            <w:tcW w:w="5614" w:type="dxa"/>
          </w:tcPr>
          <w:p w14:paraId="2013BCFE" w14:textId="77777777" w:rsidR="00E906AE" w:rsidRPr="009C0648" w:rsidRDefault="00E906AE" w:rsidP="00905D79">
            <w:pPr>
              <w:tabs>
                <w:tab w:val="left" w:pos="35"/>
              </w:tabs>
              <w:ind w:left="35"/>
            </w:pPr>
            <w:r w:rsidRPr="009C0648">
              <w:t>Папір білий, офсет, щільність не менше 80 г/м²</w:t>
            </w:r>
          </w:p>
        </w:tc>
      </w:tr>
      <w:tr w:rsidR="00E906AE" w:rsidRPr="00A92C01" w14:paraId="0BAA9342" w14:textId="77777777" w:rsidTr="00905D79">
        <w:tc>
          <w:tcPr>
            <w:tcW w:w="3708" w:type="dxa"/>
          </w:tcPr>
          <w:p w14:paraId="0A726EF4" w14:textId="77777777" w:rsidR="00E906AE" w:rsidRPr="009C0648" w:rsidRDefault="00E906AE" w:rsidP="00905D79">
            <w:pPr>
              <w:tabs>
                <w:tab w:val="left" w:pos="174"/>
              </w:tabs>
              <w:spacing w:line="256" w:lineRule="auto"/>
            </w:pPr>
            <w:r w:rsidRPr="009C0648">
              <w:t>Прозора вставка (вікно)</w:t>
            </w:r>
          </w:p>
        </w:tc>
        <w:tc>
          <w:tcPr>
            <w:tcW w:w="5614" w:type="dxa"/>
          </w:tcPr>
          <w:p w14:paraId="63173073" w14:textId="77777777" w:rsidR="00E906AE" w:rsidRPr="009C0648" w:rsidRDefault="00E906AE" w:rsidP="00905D79">
            <w:pPr>
              <w:tabs>
                <w:tab w:val="left" w:pos="35"/>
              </w:tabs>
              <w:ind w:left="35"/>
            </w:pPr>
            <w:r w:rsidRPr="009C0648">
              <w:t>Так</w:t>
            </w:r>
          </w:p>
        </w:tc>
      </w:tr>
    </w:tbl>
    <w:p w14:paraId="29DFF889" w14:textId="77777777" w:rsidR="00E906AE" w:rsidRDefault="00E906AE" w:rsidP="00E906AE">
      <w:pPr>
        <w:tabs>
          <w:tab w:val="left" w:pos="1134"/>
        </w:tabs>
        <w:ind w:firstLine="709"/>
        <w:jc w:val="both"/>
        <w:rPr>
          <w:sz w:val="26"/>
          <w:szCs w:val="26"/>
        </w:rPr>
      </w:pPr>
    </w:p>
    <w:p w14:paraId="104E6408" w14:textId="440A72A7" w:rsidR="00E906AE" w:rsidRPr="00E906AE" w:rsidRDefault="00E906AE" w:rsidP="00E906AE">
      <w:pPr>
        <w:pStyle w:val="aff0"/>
        <w:spacing w:after="113"/>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E906AE">
        <w:rPr>
          <w:rFonts w:ascii="Times New Roman" w:hAnsi="Times New Roman" w:cs="Times New Roman"/>
          <w:sz w:val="28"/>
          <w:szCs w:val="28"/>
        </w:rPr>
        <w:t xml:space="preserve">2. Вимоги до якості: предмет закупівлі повинен бути новим (рік виготовлення не раніше 2023 року), непошкодженим, не мати дефектів, а також </w:t>
      </w:r>
      <w:r w:rsidRPr="00E906AE">
        <w:rPr>
          <w:rFonts w:ascii="Times New Roman" w:hAnsi="Times New Roman" w:cs="Times New Roman"/>
          <w:sz w:val="28"/>
          <w:szCs w:val="28"/>
        </w:rPr>
        <w:lastRenderedPageBreak/>
        <w:t>таким, що не був у використанні, а терміни та умови його зберігання не порушені. Товар повинен бути якісним та комплектність повинна відповідати необхідним технічним, якісним та кількісним характеристикам та опису предмета закупівлі.</w:t>
      </w:r>
    </w:p>
    <w:p w14:paraId="4B6713D9" w14:textId="453B8906" w:rsidR="00E906AE" w:rsidRPr="00E906AE" w:rsidRDefault="00E906AE" w:rsidP="00E906AE">
      <w:pPr>
        <w:pStyle w:val="aff0"/>
        <w:spacing w:after="113"/>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E906AE">
        <w:rPr>
          <w:rFonts w:ascii="Times New Roman" w:hAnsi="Times New Roman" w:cs="Times New Roman"/>
          <w:sz w:val="28"/>
          <w:szCs w:val="28"/>
        </w:rPr>
        <w:t xml:space="preserve">3. Вимоги до тари та упаковки: згідно заводської упаковки (ціна тендерної пропозиції включає вартість тари та упаковки). Тара – незворотна. Предмет закупівлі повинен бути </w:t>
      </w:r>
      <w:proofErr w:type="spellStart"/>
      <w:r w:rsidRPr="00E906AE">
        <w:rPr>
          <w:rFonts w:ascii="Times New Roman" w:hAnsi="Times New Roman" w:cs="Times New Roman"/>
          <w:sz w:val="28"/>
          <w:szCs w:val="28"/>
        </w:rPr>
        <w:t>затарений</w:t>
      </w:r>
      <w:proofErr w:type="spellEnd"/>
      <w:r w:rsidRPr="00E906AE">
        <w:rPr>
          <w:rFonts w:ascii="Times New Roman" w:hAnsi="Times New Roman" w:cs="Times New Roman"/>
          <w:sz w:val="28"/>
          <w:szCs w:val="28"/>
        </w:rPr>
        <w:t xml:space="preserve"> та упакований таким чином, щоб виключити псування або знищення його на період від передачі до прийняття предмету закупівлі замовником. Упакування, в якому відвантажується предмет закупівлі, повинно забезпечувати його цілісність при транспортуванні.</w:t>
      </w:r>
    </w:p>
    <w:p w14:paraId="2FE110CA" w14:textId="7EA3F72D" w:rsidR="00E906AE" w:rsidRPr="00E906AE" w:rsidRDefault="00E906AE" w:rsidP="00E906AE">
      <w:pPr>
        <w:pStyle w:val="aff0"/>
        <w:spacing w:after="113"/>
        <w:ind w:left="0" w:firstLine="709"/>
        <w:jc w:val="both"/>
        <w:rPr>
          <w:rFonts w:ascii="Times New Roman" w:hAnsi="Times New Roman" w:cs="Times New Roman"/>
          <w:sz w:val="28"/>
          <w:szCs w:val="28"/>
        </w:rPr>
      </w:pPr>
      <w:r w:rsidRPr="00E906AE">
        <w:rPr>
          <w:rFonts w:ascii="Times New Roman" w:hAnsi="Times New Roman" w:cs="Times New Roman"/>
          <w:sz w:val="28"/>
          <w:szCs w:val="28"/>
        </w:rPr>
        <w:t>4.</w:t>
      </w:r>
      <w:r>
        <w:rPr>
          <w:rFonts w:ascii="Times New Roman" w:hAnsi="Times New Roman" w:cs="Times New Roman"/>
          <w:sz w:val="28"/>
          <w:szCs w:val="28"/>
        </w:rPr>
        <w:t>4.</w:t>
      </w:r>
      <w:r w:rsidRPr="00E906AE">
        <w:rPr>
          <w:rFonts w:ascii="Times New Roman" w:hAnsi="Times New Roman" w:cs="Times New Roman"/>
          <w:sz w:val="28"/>
          <w:szCs w:val="28"/>
        </w:rPr>
        <w:t xml:space="preserve"> Вартість поставки Товару, у тому числі завантаження, доставки (транспортування), вивантаження (вантажниками) у визначене Замовником місце, а також тари, упаковки та маркування, інших витрат Учасника, пов’язаних з поставкою Товару, повинна бути включена Учасником у ціну Тендерної пропозиції.</w:t>
      </w:r>
    </w:p>
    <w:p w14:paraId="0CFF7C00" w14:textId="259C9C55" w:rsidR="00E906AE" w:rsidRDefault="00E906AE" w:rsidP="00E906AE">
      <w:pPr>
        <w:pStyle w:val="aff0"/>
        <w:spacing w:after="113"/>
        <w:ind w:left="0" w:firstLine="709"/>
        <w:jc w:val="both"/>
        <w:rPr>
          <w:rFonts w:ascii="Times New Roman" w:hAnsi="Times New Roman" w:cs="Times New Roman"/>
          <w:sz w:val="28"/>
          <w:szCs w:val="28"/>
        </w:rPr>
      </w:pPr>
      <w:r>
        <w:rPr>
          <w:rFonts w:ascii="Times New Roman" w:hAnsi="Times New Roman" w:cs="Times New Roman"/>
          <w:sz w:val="28"/>
          <w:szCs w:val="28"/>
        </w:rPr>
        <w:t>4.</w:t>
      </w:r>
      <w:r w:rsidRPr="00E906AE">
        <w:rPr>
          <w:rFonts w:ascii="Times New Roman" w:hAnsi="Times New Roman" w:cs="Times New Roman"/>
          <w:sz w:val="28"/>
          <w:szCs w:val="28"/>
        </w:rPr>
        <w:t>5. Учасник процедури закупівлі повинен надати у складі Тендерної пропозиції довідку в довільній формі, яка підтверджує відповідність тендерної пропозиції Учасника технічним, якісним характеристикам та вимогам до предмета закупівлі, установленим Замовником, а також вимогам стандартів та нормативних документів згідно чинного законодавства.</w:t>
      </w:r>
    </w:p>
    <w:p w14:paraId="73CBF3E5" w14:textId="77777777" w:rsidR="00E906AE" w:rsidRDefault="00E906AE" w:rsidP="00E906AE">
      <w:pPr>
        <w:pStyle w:val="aff0"/>
        <w:spacing w:after="113"/>
        <w:ind w:left="0" w:firstLine="709"/>
        <w:jc w:val="both"/>
        <w:rPr>
          <w:rFonts w:ascii="Times New Roman" w:hAnsi="Times New Roman" w:cs="Times New Roman"/>
          <w:sz w:val="28"/>
          <w:szCs w:val="28"/>
        </w:rPr>
      </w:pPr>
    </w:p>
    <w:p w14:paraId="4B3F2536" w14:textId="77777777" w:rsidR="00E906AE" w:rsidRPr="00E906AE" w:rsidRDefault="00E906AE" w:rsidP="00E906AE">
      <w:pPr>
        <w:pStyle w:val="aff0"/>
        <w:spacing w:after="113"/>
        <w:ind w:left="0" w:firstLine="709"/>
        <w:jc w:val="both"/>
        <w:rPr>
          <w:rFonts w:ascii="Times New Roman" w:hAnsi="Times New Roman" w:cs="Times New Roman"/>
          <w:sz w:val="28"/>
          <w:szCs w:val="28"/>
        </w:rPr>
      </w:pPr>
    </w:p>
    <w:p w14:paraId="10124CEF" w14:textId="77777777" w:rsidR="00E906AE" w:rsidRPr="00E906AE" w:rsidRDefault="00E906AE" w:rsidP="00E906AE">
      <w:pPr>
        <w:jc w:val="both"/>
        <w:rPr>
          <w:sz w:val="28"/>
          <w:szCs w:val="28"/>
        </w:rPr>
      </w:pPr>
      <w:r w:rsidRPr="00E906AE">
        <w:rPr>
          <w:sz w:val="28"/>
          <w:szCs w:val="28"/>
        </w:rPr>
        <w:t xml:space="preserve">Примітки: </w:t>
      </w:r>
    </w:p>
    <w:p w14:paraId="291E1E0E" w14:textId="77777777" w:rsidR="00E906AE" w:rsidRPr="00E906AE" w:rsidRDefault="00E906AE" w:rsidP="00E906AE">
      <w:pPr>
        <w:tabs>
          <w:tab w:val="center" w:pos="8102"/>
        </w:tabs>
        <w:ind w:right="-1"/>
        <w:jc w:val="both"/>
        <w:rPr>
          <w:sz w:val="28"/>
          <w:szCs w:val="28"/>
        </w:rPr>
      </w:pPr>
      <w:r w:rsidRPr="00E906AE">
        <w:rPr>
          <w:sz w:val="28"/>
          <w:szCs w:val="28"/>
        </w:rPr>
        <w:tab/>
        <w:t>У випадку, якщо технічна частина цієї тендерної документації торгів (інформація про необхідні технічні, якісні та кількісні характеристики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окрім приведеного, у свої пропозиціях Законом не забороняється пропонувати відповідні еквіваленти. Тобто у випадку наявності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слід читати поряд з таким посиланням вираз "або еквівалент" відповідно до частин 3 статті 23 Закону України „Про публічні закупівлі”.</w:t>
      </w:r>
    </w:p>
    <w:p w14:paraId="52CAFD0C" w14:textId="136A714D" w:rsidR="0064353C" w:rsidRPr="0064353C" w:rsidRDefault="0064353C" w:rsidP="00F70691">
      <w:pPr>
        <w:tabs>
          <w:tab w:val="left" w:pos="1276"/>
        </w:tabs>
        <w:spacing w:after="113"/>
        <w:ind w:firstLine="567"/>
        <w:jc w:val="both"/>
        <w:rPr>
          <w:sz w:val="28"/>
          <w:szCs w:val="28"/>
        </w:rPr>
      </w:pPr>
    </w:p>
    <w:p w14:paraId="69D5CCE8" w14:textId="77777777" w:rsidR="00E906AE" w:rsidRDefault="000F5409" w:rsidP="00E906AE">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32C677DD" w14:textId="77777777" w:rsidR="00E906AE" w:rsidRDefault="00E906AE" w:rsidP="00E906AE">
      <w:pPr>
        <w:ind w:firstLine="709"/>
        <w:contextualSpacing/>
        <w:jc w:val="both"/>
        <w:rPr>
          <w:sz w:val="28"/>
          <w:szCs w:val="28"/>
        </w:rPr>
      </w:pPr>
    </w:p>
    <w:p w14:paraId="6112A9C1" w14:textId="4A22C403" w:rsidR="00E906AE" w:rsidRPr="00E906AE" w:rsidRDefault="000F5409" w:rsidP="00E906AE">
      <w:pPr>
        <w:ind w:firstLine="709"/>
        <w:contextualSpacing/>
        <w:jc w:val="both"/>
        <w:rPr>
          <w:sz w:val="28"/>
          <w:szCs w:val="28"/>
        </w:rPr>
      </w:pPr>
      <w:r>
        <w:rPr>
          <w:sz w:val="28"/>
          <w:szCs w:val="28"/>
        </w:rPr>
        <w:t xml:space="preserve">6. Очікувана вартість предмета закупівлі: </w:t>
      </w:r>
      <w:r w:rsidR="00E906AE" w:rsidRPr="00E906AE">
        <w:rPr>
          <w:sz w:val="28"/>
          <w:szCs w:val="28"/>
        </w:rPr>
        <w:t>9600,00 грн. (Дев’ять тисяч шістсот гривень 00 копійок) з ПДВ.</w:t>
      </w:r>
    </w:p>
    <w:p w14:paraId="7E2C13AD" w14:textId="240733A5" w:rsidR="0064353C" w:rsidRDefault="0064353C" w:rsidP="00E906AE">
      <w:pPr>
        <w:spacing w:after="113"/>
        <w:ind w:firstLine="709"/>
        <w:jc w:val="both"/>
        <w:rPr>
          <w:sz w:val="28"/>
          <w:szCs w:val="28"/>
        </w:rPr>
      </w:pPr>
    </w:p>
    <w:p w14:paraId="7040064F" w14:textId="77777777" w:rsidR="00A22D61" w:rsidRDefault="000F5409">
      <w:pPr>
        <w:ind w:firstLine="709"/>
        <w:contextualSpacing/>
        <w:jc w:val="both"/>
        <w:rPr>
          <w:sz w:val="28"/>
          <w:szCs w:val="28"/>
        </w:rPr>
      </w:pPr>
      <w:r>
        <w:rPr>
          <w:sz w:val="28"/>
          <w:szCs w:val="28"/>
        </w:rPr>
        <w:lastRenderedPageBreak/>
        <w:t xml:space="preserve">7. Обґрунтування очікуваної вартості предмета закупівлі: </w:t>
      </w:r>
    </w:p>
    <w:p w14:paraId="08111CD2" w14:textId="77777777" w:rsidR="0064353C" w:rsidRDefault="0064353C"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00420AFC" w14:textId="77777777" w:rsidR="00A22D61" w:rsidRDefault="00A22D61">
      <w:pPr>
        <w:ind w:firstLine="709"/>
        <w:contextualSpacing/>
        <w:jc w:val="both"/>
        <w:rPr>
          <w:sz w:val="28"/>
          <w:szCs w:val="28"/>
        </w:rPr>
      </w:pPr>
    </w:p>
    <w:p w14:paraId="00AC125C" w14:textId="2BD27FC3" w:rsidR="00A22D61" w:rsidRDefault="000F5409">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9F5FD0">
        <w:rPr>
          <w:sz w:val="28"/>
          <w:szCs w:val="28"/>
          <w:lang w:eastAsia="zh-CN"/>
        </w:rPr>
        <w:t xml:space="preserve"> та доповненнями</w:t>
      </w:r>
      <w:r>
        <w:rPr>
          <w:sz w:val="28"/>
          <w:szCs w:val="28"/>
          <w:lang w:eastAsia="zh-CN"/>
        </w:rPr>
        <w:t>)</w:t>
      </w:r>
      <w:r>
        <w:rPr>
          <w:sz w:val="28"/>
          <w:szCs w:val="28"/>
        </w:rPr>
        <w:t>.</w:t>
      </w:r>
    </w:p>
    <w:p w14:paraId="6448F85C" w14:textId="77777777" w:rsidR="00A22D61" w:rsidRDefault="00A22D61">
      <w:pPr>
        <w:ind w:firstLine="709"/>
        <w:contextualSpacing/>
        <w:jc w:val="both"/>
        <w:rPr>
          <w:sz w:val="28"/>
        </w:rPr>
      </w:pPr>
    </w:p>
    <w:sectPr w:rsidR="00A22D61" w:rsidSect="00E906AE">
      <w:headerReference w:type="default" r:id="rId7"/>
      <w:pgSz w:w="11906" w:h="16838"/>
      <w:pgMar w:top="993" w:right="991" w:bottom="1135"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DC8" w14:textId="77777777" w:rsidR="000F5409" w:rsidRDefault="000F5409">
      <w:r>
        <w:separator/>
      </w:r>
    </w:p>
  </w:endnote>
  <w:endnote w:type="continuationSeparator" w:id="0">
    <w:p w14:paraId="25950316" w14:textId="77777777" w:rsidR="000F5409" w:rsidRDefault="000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EF5D" w14:textId="77777777" w:rsidR="000F5409" w:rsidRDefault="000F5409">
      <w:r>
        <w:separator/>
      </w:r>
    </w:p>
  </w:footnote>
  <w:footnote w:type="continuationSeparator" w:id="0">
    <w:p w14:paraId="14883461" w14:textId="77777777" w:rsidR="000F5409" w:rsidRDefault="000F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B53" w14:textId="77777777" w:rsidR="00A22D61" w:rsidRDefault="00A22D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7978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D61"/>
    <w:rsid w:val="000F5409"/>
    <w:rsid w:val="0064353C"/>
    <w:rsid w:val="007F07AA"/>
    <w:rsid w:val="009F5FD0"/>
    <w:rsid w:val="00A22D61"/>
    <w:rsid w:val="00E906AE"/>
    <w:rsid w:val="00F706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FFD"/>
  <w15:docId w15:val="{A07209FF-15C4-4932-AFBB-290C489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aff1">
    <w:name w:val="Абзац списку Знак"/>
    <w:aliases w:val="Number Bullets Знак,lp1 Знак,List Paragraph1 Знак,AC List 01 Знак"/>
    <w:link w:val="aff0"/>
    <w:uiPriority w:val="34"/>
    <w:locked/>
    <w:rsid w:val="000F5409"/>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3423</Words>
  <Characters>1952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dc:description/>
  <cp:lastModifiedBy>Наталія Вовченко Інтернет</cp:lastModifiedBy>
  <cp:revision>18</cp:revision>
  <cp:lastPrinted>2023-03-08T12:33:00Z</cp:lastPrinted>
  <dcterms:created xsi:type="dcterms:W3CDTF">2023-12-01T11:47:00Z</dcterms:created>
  <dcterms:modified xsi:type="dcterms:W3CDTF">2024-02-15T11:30:00Z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