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677B87">
      <w:pPr>
        <w:jc w:val="both"/>
        <w:rPr>
          <w:b/>
          <w:bCs/>
        </w:rPr>
      </w:pPr>
    </w:p>
    <w:p w:rsidR="006E0648" w:rsidRPr="006E0648" w:rsidRDefault="006E0648" w:rsidP="00677B87">
      <w:pPr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77B87">
      <w:pPr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Pr="000A043A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Pr="006E0648" w:rsidRDefault="006E0648" w:rsidP="00677B87">
      <w:pPr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Pr="006E0648" w:rsidRDefault="006E0648" w:rsidP="00677B87">
      <w:pPr>
        <w:ind w:firstLine="567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  <w:r w:rsidR="000A043A">
        <w:rPr>
          <w:sz w:val="28"/>
          <w:szCs w:val="28"/>
        </w:rPr>
        <w:t>Сумська митниця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t xml:space="preserve"> вул. </w:t>
      </w:r>
      <w:r w:rsidR="000A043A">
        <w:rPr>
          <w:sz w:val="28"/>
          <w:szCs w:val="28"/>
        </w:rPr>
        <w:t>Юрія Вєтрова</w:t>
      </w:r>
      <w:r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24</w:t>
      </w:r>
      <w:r w:rsidRPr="006E0648">
        <w:rPr>
          <w:sz w:val="28"/>
          <w:szCs w:val="28"/>
        </w:rPr>
        <w:t xml:space="preserve">, м. </w:t>
      </w:r>
      <w:r w:rsidR="000A043A">
        <w:rPr>
          <w:sz w:val="28"/>
          <w:szCs w:val="28"/>
        </w:rPr>
        <w:t>Суми</w:t>
      </w:r>
      <w:r w:rsidRPr="006E0648">
        <w:rPr>
          <w:sz w:val="28"/>
          <w:szCs w:val="28"/>
        </w:rPr>
        <w:t xml:space="preserve">, </w:t>
      </w:r>
      <w:r w:rsidR="000A043A">
        <w:rPr>
          <w:sz w:val="28"/>
          <w:szCs w:val="28"/>
        </w:rPr>
        <w:t>40024</w:t>
      </w:r>
      <w:r w:rsidRPr="006E0648">
        <w:rPr>
          <w:sz w:val="28"/>
          <w:szCs w:val="28"/>
        </w:rPr>
        <w:t xml:space="preserve">; код за ЄДРПОУ – </w:t>
      </w:r>
      <w:r w:rsidR="000A043A">
        <w:rPr>
          <w:sz w:val="28"/>
          <w:szCs w:val="28"/>
        </w:rPr>
        <w:t>44017631</w:t>
      </w:r>
      <w:r w:rsidRPr="006E0648">
        <w:rPr>
          <w:sz w:val="28"/>
          <w:szCs w:val="28"/>
        </w:rPr>
        <w:t>; категорія замовника – орган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</w:t>
      </w:r>
      <w:r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 xml:space="preserve"> влади.</w:t>
      </w:r>
    </w:p>
    <w:p w:rsidR="008E6819" w:rsidRPr="008E6819" w:rsidRDefault="006E0648" w:rsidP="00677B87">
      <w:pPr>
        <w:ind w:right="-2" w:firstLine="567"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лота) та назви відповідних </w:t>
      </w:r>
      <w:proofErr w:type="spellStart"/>
      <w:r w:rsidRPr="006E0648">
        <w:rPr>
          <w:b/>
          <w:sz w:val="28"/>
          <w:szCs w:val="28"/>
        </w:rPr>
        <w:t>клас</w:t>
      </w:r>
      <w:r w:rsidR="0018585C">
        <w:rPr>
          <w:b/>
          <w:sz w:val="28"/>
          <w:szCs w:val="28"/>
        </w:rPr>
        <w:t>ифікато</w:t>
      </w:r>
      <w:r w:rsidRPr="006E0648">
        <w:rPr>
          <w:b/>
          <w:sz w:val="28"/>
          <w:szCs w:val="28"/>
        </w:rPr>
        <w:t>ів</w:t>
      </w:r>
      <w:proofErr w:type="spellEnd"/>
      <w:r w:rsidRPr="006E0648">
        <w:rPr>
          <w:b/>
          <w:sz w:val="28"/>
          <w:szCs w:val="28"/>
        </w:rPr>
        <w:t xml:space="preserve">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  <w:r w:rsidR="008E6819" w:rsidRPr="008E6819">
        <w:rPr>
          <w:color w:val="000000"/>
          <w:sz w:val="28"/>
          <w:szCs w:val="28"/>
        </w:rPr>
        <w:t>П</w:t>
      </w:r>
      <w:r w:rsidR="008E6819" w:rsidRPr="008E6819">
        <w:rPr>
          <w:color w:val="000000"/>
          <w:sz w:val="28"/>
          <w:szCs w:val="28"/>
          <w:lang w:eastAsia="uk-UA"/>
        </w:rPr>
        <w:t>ослуги з поточного  ремонту та технічного обслуговування обладнання (охоронної сигналізації приміщень громадської будівлі  Сумської митниці), що розташоване за адресою: вул. Юрія Вєтрова,24, м. Суми.</w:t>
      </w:r>
      <w:r w:rsidR="008E6819" w:rsidRPr="008E6819">
        <w:rPr>
          <w:color w:val="000000"/>
          <w:sz w:val="28"/>
          <w:szCs w:val="28"/>
          <w:lang w:eastAsia="uk-UA"/>
        </w:rPr>
        <w:br/>
      </w:r>
      <w:r w:rsidR="008E6819" w:rsidRPr="008E6819">
        <w:rPr>
          <w:color w:val="000000"/>
          <w:sz w:val="28"/>
          <w:szCs w:val="28"/>
        </w:rPr>
        <w:t>ДК   021:2015    45310000-3  Електромонтажні роботи</w:t>
      </w:r>
      <w:r w:rsidR="00677B87">
        <w:rPr>
          <w:color w:val="000000"/>
          <w:sz w:val="28"/>
          <w:szCs w:val="28"/>
        </w:rPr>
        <w:t>.</w:t>
      </w:r>
    </w:p>
    <w:p w:rsidR="00B661EC" w:rsidRDefault="006E0648" w:rsidP="00677B87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7C2BD8">
        <w:rPr>
          <w:b/>
          <w:sz w:val="28"/>
          <w:szCs w:val="28"/>
        </w:rPr>
        <w:t>и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>: —</w:t>
      </w:r>
      <w:r w:rsidR="00F64359" w:rsidRPr="00F64359">
        <w:t xml:space="preserve"> </w:t>
      </w:r>
      <w:r w:rsidR="00F64359" w:rsidRPr="00F64359">
        <w:rPr>
          <w:b/>
          <w:sz w:val="28"/>
          <w:szCs w:val="28"/>
        </w:rPr>
        <w:t>UA-2024-01-24-015038-a</w:t>
      </w:r>
      <w:r w:rsidR="00F64359">
        <w:rPr>
          <w:b/>
          <w:sz w:val="28"/>
          <w:szCs w:val="28"/>
        </w:rPr>
        <w:t>.</w:t>
      </w:r>
    </w:p>
    <w:p w:rsidR="007C2BD8" w:rsidRDefault="00A0247F" w:rsidP="00677B87">
      <w:pPr>
        <w:ind w:firstLine="567"/>
        <w:contextualSpacing/>
        <w:jc w:val="both"/>
        <w:rPr>
          <w:kern w:val="36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  <w:r w:rsidR="002621E2" w:rsidRPr="008E6819">
        <w:rPr>
          <w:kern w:val="36"/>
          <w:sz w:val="28"/>
          <w:szCs w:val="28"/>
        </w:rPr>
        <w:t xml:space="preserve"> </w:t>
      </w:r>
    </w:p>
    <w:p w:rsidR="00F64359" w:rsidRPr="00677B87" w:rsidRDefault="00F64359" w:rsidP="00677B87">
      <w:pPr>
        <w:jc w:val="both"/>
        <w:rPr>
          <w:sz w:val="28"/>
          <w:szCs w:val="28"/>
        </w:rPr>
      </w:pPr>
      <w:r w:rsidRPr="00677B87">
        <w:rPr>
          <w:sz w:val="28"/>
          <w:szCs w:val="28"/>
        </w:rPr>
        <w:t>В складі тендерної пропозиції Виконавець  надає наступні документи :</w:t>
      </w:r>
    </w:p>
    <w:p w:rsidR="00F64359" w:rsidRPr="00677B87" w:rsidRDefault="00F64359" w:rsidP="00677B8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77B87">
        <w:rPr>
          <w:color w:val="000000"/>
          <w:sz w:val="28"/>
          <w:szCs w:val="28"/>
        </w:rPr>
        <w:t>1. Скановану копію оригіналу сертифікату учасника на систему управління якістю згідно вимог стандарту ДСТУ EN ISO 9001:2018 (EN ISO 9001:2015, IDT; ISO 9001:2015, IDT) «Системи управління якістю. Вимоги», чинного на дату розкриття тендерних пропозицій.</w:t>
      </w:r>
    </w:p>
    <w:p w:rsidR="00F64359" w:rsidRPr="00677B87" w:rsidRDefault="00F64359" w:rsidP="00677B87">
      <w:pPr>
        <w:shd w:val="clear" w:color="auto" w:fill="FFFFFF"/>
        <w:jc w:val="both"/>
        <w:rPr>
          <w:color w:val="000000"/>
          <w:sz w:val="28"/>
          <w:szCs w:val="28"/>
        </w:rPr>
      </w:pPr>
      <w:r w:rsidRPr="00677B87">
        <w:rPr>
          <w:color w:val="000000"/>
          <w:sz w:val="28"/>
          <w:szCs w:val="28"/>
        </w:rPr>
        <w:t>Сертифікат повинний бути виданий Учаснику органом стандартизації, метрології та сертифікації або іншим органом по сертифікації (органом з оцінки відповідності), який був акредитований НААУ на момент видачі сертифікату. Акредитація в частині ДСТУ EN ISO 9001:2018 (EN ISO 9001:2015, IDT; ISO 9001:2015, IDT) «Системи управління якістю. Вимоги» повинна розповсюджуватися на всі види діяльності, що зазначені у сертифікаті. На підтвердження відповідності даній вимозі надати скановану копію Атестату про акредитацію, виданого НААУ органу, що видав сертифікат, з усіма додатками;</w:t>
      </w:r>
    </w:p>
    <w:p w:rsidR="00F64359" w:rsidRPr="00677B87" w:rsidRDefault="00F64359" w:rsidP="00677B8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77B87">
        <w:rPr>
          <w:color w:val="000000"/>
          <w:sz w:val="28"/>
          <w:szCs w:val="28"/>
        </w:rPr>
        <w:t>2. Скановану копію оригіналу сертифікату учасника на систему управління охороною здоров’я та безпекою праці згідно вимог стандарту ДСТУ ISO 45001:2019 «Системи управління охороною здоров’я та безпекою праці. Вимоги та настанови щодо застосування (ISO 45001:2018, IDT)», чинного на дату розкриття тендерних пропозицій.</w:t>
      </w:r>
    </w:p>
    <w:p w:rsidR="00F64359" w:rsidRPr="00677B87" w:rsidRDefault="00F64359" w:rsidP="00677B87">
      <w:pPr>
        <w:shd w:val="clear" w:color="auto" w:fill="FFFFFF"/>
        <w:jc w:val="both"/>
        <w:rPr>
          <w:color w:val="000000"/>
          <w:sz w:val="28"/>
          <w:szCs w:val="28"/>
        </w:rPr>
      </w:pPr>
      <w:r w:rsidRPr="00677B87">
        <w:rPr>
          <w:color w:val="000000"/>
          <w:sz w:val="28"/>
          <w:szCs w:val="28"/>
        </w:rPr>
        <w:t xml:space="preserve">Сертифікат повинний бути виданий Учаснику органом стандартизації, метрології та сертифікації або іншим органом по сертифікації (органом з оцінки відповідності), який був акредитований НААУ на момент видачі </w:t>
      </w:r>
      <w:r w:rsidRPr="00677B87">
        <w:rPr>
          <w:color w:val="000000"/>
          <w:sz w:val="28"/>
          <w:szCs w:val="28"/>
        </w:rPr>
        <w:lastRenderedPageBreak/>
        <w:t>сертифікату. Акредитація в частині ДСТУ ISO 45001:2019 (</w:t>
      </w:r>
      <w:proofErr w:type="spellStart"/>
      <w:r w:rsidRPr="00677B87">
        <w:rPr>
          <w:color w:val="000000"/>
          <w:sz w:val="28"/>
          <w:szCs w:val="28"/>
        </w:rPr>
        <w:t>ISO</w:t>
      </w:r>
      <w:proofErr w:type="spellEnd"/>
      <w:r w:rsidRPr="00677B87">
        <w:rPr>
          <w:color w:val="000000"/>
          <w:sz w:val="28"/>
          <w:szCs w:val="28"/>
        </w:rPr>
        <w:t xml:space="preserve"> 45001:2018, IDT) «Системи управління охороною здоров´я та безпекою праці. Вимоги та настанови, щодо застосування» повинна розповсюджуватися на всі види діяльності, що зазначені у сертифікаті. На підтвердження відповідності даній вимозі надати скановану копію Атестату про акредитацію, виданого НААУ органу, що видав сертифікат, з усіма додатками.</w:t>
      </w:r>
    </w:p>
    <w:p w:rsidR="00F64359" w:rsidRPr="00677B87" w:rsidRDefault="00677B87" w:rsidP="00677B87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4359" w:rsidRPr="00677B87">
        <w:rPr>
          <w:sz w:val="28"/>
          <w:szCs w:val="28"/>
        </w:rPr>
        <w:t>3. Технологія та якість виконуваних послуг, якість застосованих матеріалів повинні відповідати вимогам діючих державних стандартів, будівельних, протипожежних та санітарних норм і правил, встановлених для даних видів послуг.</w:t>
      </w:r>
    </w:p>
    <w:p w:rsidR="00F64359" w:rsidRPr="00677B87" w:rsidRDefault="00677B87" w:rsidP="00677B87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4359" w:rsidRPr="00677B87">
        <w:rPr>
          <w:sz w:val="28"/>
          <w:szCs w:val="28"/>
        </w:rPr>
        <w:t>4. Учасник визначає ціни, з урахуванням всіх видів та обсягів послуг, що повинні бути виконані. Ціна пропозиції повинна включати всі витрати Учасника, зокрема сплату податків і зборів, що сплачуються або мають бути сплачені, вартість матеріалів, страхування, інші витрати.</w:t>
      </w:r>
    </w:p>
    <w:p w:rsidR="00F64359" w:rsidRPr="00677B87" w:rsidRDefault="00677B87" w:rsidP="00677B87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4359" w:rsidRPr="00677B87">
        <w:rPr>
          <w:sz w:val="28"/>
          <w:szCs w:val="28"/>
        </w:rPr>
        <w:t>5. При складанні ціни пропозиції (договірної ціни) на виконання послуг вартість матеріальних ресурсів приймається учасником за цінами, які не перевищують орієнтовний рівень цін внутрішнього ринку України, з урахуванням їх якісних характеристик, строків та об’ємів постачання.</w:t>
      </w:r>
    </w:p>
    <w:p w:rsidR="00F64359" w:rsidRPr="00677B87" w:rsidRDefault="00677B87" w:rsidP="00677B87">
      <w:pPr>
        <w:tabs>
          <w:tab w:val="left" w:pos="920"/>
        </w:tabs>
        <w:spacing w:line="259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F64359" w:rsidRPr="00677B87">
        <w:rPr>
          <w:sz w:val="28"/>
          <w:szCs w:val="28"/>
        </w:rPr>
        <w:t xml:space="preserve">6. Якщо пропозиція закупівлі Учасника містить не всі види послуг або зміну обсягів та складу послуг згідно з документацією закупівель, ця пропозиція вважається такою, що не відповідає умовам документації закупівлі, та </w:t>
      </w:r>
      <w:r w:rsidR="00F64359" w:rsidRPr="00677B87">
        <w:rPr>
          <w:color w:val="000000"/>
          <w:sz w:val="28"/>
          <w:szCs w:val="28"/>
        </w:rPr>
        <w:t>відхиляється Замовником торгів.</w:t>
      </w:r>
    </w:p>
    <w:p w:rsidR="00F64359" w:rsidRPr="00677B87" w:rsidRDefault="00677B87" w:rsidP="00677B87">
      <w:pPr>
        <w:tabs>
          <w:tab w:val="left" w:pos="920"/>
        </w:tabs>
        <w:spacing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64359" w:rsidRPr="00677B87">
        <w:rPr>
          <w:sz w:val="28"/>
          <w:szCs w:val="28"/>
        </w:rPr>
        <w:t>7. В склад послуг  включити перелік матеріалів та обладнання наведених нижче.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71"/>
        <w:gridCol w:w="3155"/>
        <w:gridCol w:w="1915"/>
        <w:gridCol w:w="1915"/>
        <w:gridCol w:w="1915"/>
      </w:tblGrid>
      <w:tr w:rsidR="00F64359" w:rsidRPr="00677B87" w:rsidTr="00557A1D">
        <w:tc>
          <w:tcPr>
            <w:tcW w:w="671" w:type="dxa"/>
            <w:vAlign w:val="center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>№</w:t>
            </w:r>
          </w:p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</w:pPr>
            <w:r w:rsidRPr="00677B87">
              <w:rPr>
                <w:spacing w:val="-3"/>
              </w:rPr>
              <w:t>п/</w:t>
            </w:r>
            <w:proofErr w:type="spellStart"/>
            <w:r w:rsidRPr="00677B87">
              <w:rPr>
                <w:spacing w:val="-3"/>
              </w:rPr>
              <w:t>п</w:t>
            </w:r>
            <w:proofErr w:type="spellEnd"/>
          </w:p>
        </w:tc>
        <w:tc>
          <w:tcPr>
            <w:tcW w:w="3155" w:type="dxa"/>
            <w:vAlign w:val="center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</w:pPr>
            <w:r w:rsidRPr="00677B87">
              <w:rPr>
                <w:spacing w:val="-3"/>
              </w:rPr>
              <w:t xml:space="preserve">Найменування  </w:t>
            </w:r>
            <w:r w:rsidRPr="00677B87">
              <w:t>матеріалів та обладнання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>Кількість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</w:tr>
      <w:tr w:rsidR="00F64359" w:rsidRPr="00677B87" w:rsidTr="00557A1D">
        <w:tc>
          <w:tcPr>
            <w:tcW w:w="671" w:type="dxa"/>
            <w:vAlign w:val="center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 xml:space="preserve">1 </w:t>
            </w:r>
          </w:p>
        </w:tc>
        <w:tc>
          <w:tcPr>
            <w:tcW w:w="3155" w:type="dxa"/>
          </w:tcPr>
          <w:p w:rsidR="00F64359" w:rsidRPr="00677B87" w:rsidRDefault="00F64359" w:rsidP="00677B87">
            <w:pPr>
              <w:jc w:val="both"/>
              <w:rPr>
                <w:lang w:val="en-US"/>
              </w:rPr>
            </w:pPr>
            <w:r w:rsidRPr="00677B87">
              <w:t xml:space="preserve">ПСО 18Кгц – </w:t>
            </w:r>
            <w:r w:rsidRPr="00677B87">
              <w:rPr>
                <w:lang w:val="en-US"/>
              </w:rPr>
              <w:t>GPRS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>1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</w:tr>
      <w:tr w:rsidR="00F64359" w:rsidRPr="00677B87" w:rsidTr="00557A1D">
        <w:tc>
          <w:tcPr>
            <w:tcW w:w="671" w:type="dxa"/>
            <w:vAlign w:val="center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  <w:lang w:val="en-US"/>
              </w:rPr>
            </w:pPr>
            <w:r w:rsidRPr="00677B87">
              <w:rPr>
                <w:spacing w:val="-3"/>
              </w:rPr>
              <w:t xml:space="preserve">2 </w:t>
            </w:r>
          </w:p>
        </w:tc>
        <w:tc>
          <w:tcPr>
            <w:tcW w:w="3155" w:type="dxa"/>
          </w:tcPr>
          <w:p w:rsidR="00F64359" w:rsidRPr="00677B87" w:rsidRDefault="00F64359" w:rsidP="00677B87">
            <w:pPr>
              <w:jc w:val="both"/>
            </w:pPr>
            <w:r w:rsidRPr="00677B87">
              <w:t>Акумулятор 7А/г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>1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</w:tr>
      <w:tr w:rsidR="00F64359" w:rsidRPr="00677B87" w:rsidTr="00557A1D">
        <w:tc>
          <w:tcPr>
            <w:tcW w:w="671" w:type="dxa"/>
            <w:vAlign w:val="center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>3</w:t>
            </w:r>
          </w:p>
        </w:tc>
        <w:tc>
          <w:tcPr>
            <w:tcW w:w="3155" w:type="dxa"/>
          </w:tcPr>
          <w:p w:rsidR="00F64359" w:rsidRPr="00677B87" w:rsidRDefault="00F64359" w:rsidP="00677B87">
            <w:pPr>
              <w:jc w:val="both"/>
              <w:rPr>
                <w:lang w:val="en-US"/>
              </w:rPr>
            </w:pPr>
            <w:proofErr w:type="spellStart"/>
            <w:r w:rsidRPr="00677B87">
              <w:t>Радіокомплект</w:t>
            </w:r>
            <w:proofErr w:type="spellEnd"/>
            <w:r w:rsidRPr="00677B87">
              <w:t xml:space="preserve"> </w:t>
            </w:r>
            <w:r w:rsidRPr="00677B87">
              <w:rPr>
                <w:lang w:val="en-US"/>
              </w:rPr>
              <w:t>UMB1HS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  <w:r w:rsidRPr="00677B87">
              <w:rPr>
                <w:spacing w:val="-3"/>
              </w:rPr>
              <w:t>1</w:t>
            </w: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  <w:tc>
          <w:tcPr>
            <w:tcW w:w="1915" w:type="dxa"/>
          </w:tcPr>
          <w:p w:rsidR="00F64359" w:rsidRPr="00677B87" w:rsidRDefault="00F64359" w:rsidP="00677B87">
            <w:pPr>
              <w:keepLines/>
              <w:autoSpaceDE w:val="0"/>
              <w:autoSpaceDN w:val="0"/>
              <w:jc w:val="both"/>
              <w:rPr>
                <w:spacing w:val="-3"/>
              </w:rPr>
            </w:pPr>
          </w:p>
        </w:tc>
      </w:tr>
    </w:tbl>
    <w:p w:rsidR="00F64359" w:rsidRPr="00677B87" w:rsidRDefault="00A0247F" w:rsidP="00677B87">
      <w:pPr>
        <w:ind w:right="-2" w:firstLine="567"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D2380B">
        <w:rPr>
          <w:sz w:val="28"/>
          <w:szCs w:val="28"/>
        </w:rPr>
        <w:t>а</w:t>
      </w:r>
      <w:r w:rsidR="0044255F" w:rsidRPr="008B5AE5">
        <w:rPr>
          <w:sz w:val="28"/>
          <w:szCs w:val="28"/>
        </w:rPr>
        <w:t xml:space="preserve"> закупів</w:t>
      </w:r>
      <w:r w:rsidR="00D2380B">
        <w:rPr>
          <w:sz w:val="28"/>
          <w:szCs w:val="28"/>
        </w:rPr>
        <w:t>лі:</w:t>
      </w:r>
      <w:r w:rsidR="00EB528C">
        <w:rPr>
          <w:sz w:val="28"/>
          <w:szCs w:val="28"/>
        </w:rPr>
        <w:t xml:space="preserve"> </w:t>
      </w:r>
      <w:r w:rsidR="007C2BD8" w:rsidRPr="00EB528C">
        <w:rPr>
          <w:rFonts w:eastAsia="Calibri"/>
          <w:color w:val="000000"/>
          <w:sz w:val="28"/>
          <w:szCs w:val="28"/>
        </w:rPr>
        <w:t>«</w:t>
      </w:r>
      <w:r w:rsidR="00F64359" w:rsidRPr="008E6819">
        <w:rPr>
          <w:color w:val="000000"/>
          <w:sz w:val="28"/>
          <w:szCs w:val="28"/>
        </w:rPr>
        <w:t>П</w:t>
      </w:r>
      <w:r w:rsidR="00F64359" w:rsidRPr="008E6819">
        <w:rPr>
          <w:color w:val="000000"/>
          <w:sz w:val="28"/>
          <w:szCs w:val="28"/>
          <w:lang w:eastAsia="uk-UA"/>
        </w:rPr>
        <w:t>ослуги з поточного  ремонту та технічного обслуговування обладнання (охоронної сигналізації приміщень громадської будівлі  Сумської митниці), що розташоване за адресою:</w:t>
      </w:r>
      <w:r w:rsidR="00677B87">
        <w:rPr>
          <w:color w:val="000000"/>
          <w:sz w:val="28"/>
          <w:szCs w:val="28"/>
          <w:lang w:eastAsia="uk-UA"/>
        </w:rPr>
        <w:t xml:space="preserve"> вул. Юрія Вєтрова,24, м. Суми,</w:t>
      </w:r>
      <w:r w:rsidR="00104B41" w:rsidRPr="00EB528C">
        <w:rPr>
          <w:rFonts w:eastAsia="Calibri"/>
          <w:color w:val="000000"/>
          <w:sz w:val="28"/>
          <w:szCs w:val="28"/>
        </w:rPr>
        <w:t xml:space="preserve"> за кодом ДК 021:2015 –</w:t>
      </w:r>
      <w:r w:rsidR="00F64359" w:rsidRPr="008E6819">
        <w:rPr>
          <w:color w:val="000000"/>
          <w:sz w:val="28"/>
          <w:szCs w:val="28"/>
        </w:rPr>
        <w:t>45310000-3  Електромонтажні роботи</w:t>
      </w:r>
      <w:r w:rsidR="00677B87">
        <w:rPr>
          <w:sz w:val="28"/>
          <w:szCs w:val="28"/>
        </w:rPr>
        <w:t xml:space="preserve"> </w:t>
      </w:r>
      <w:r w:rsidR="00D2380B" w:rsidRPr="00EB528C">
        <w:rPr>
          <w:sz w:val="28"/>
          <w:szCs w:val="28"/>
        </w:rPr>
        <w:t>відповідає розрахунку видатків до кошторису Сумської митниці на 202</w:t>
      </w:r>
      <w:r w:rsidR="000864AF" w:rsidRPr="00EB528C">
        <w:rPr>
          <w:sz w:val="28"/>
          <w:szCs w:val="28"/>
        </w:rPr>
        <w:t>4</w:t>
      </w:r>
      <w:r w:rsidR="00D2380B" w:rsidRPr="00EB528C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F64359" w:rsidRPr="00677B87" w:rsidRDefault="00A0247F" w:rsidP="00677B87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F64359">
        <w:rPr>
          <w:sz w:val="28"/>
          <w:szCs w:val="28"/>
        </w:rPr>
        <w:t>3852,00</w:t>
      </w:r>
      <w:r w:rsidR="007C2BD8" w:rsidRPr="007C2BD8">
        <w:rPr>
          <w:sz w:val="28"/>
          <w:szCs w:val="28"/>
        </w:rPr>
        <w:t xml:space="preserve"> грн</w:t>
      </w:r>
      <w:r w:rsidR="000B1694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0B1694">
        <w:rPr>
          <w:sz w:val="28"/>
          <w:szCs w:val="28"/>
        </w:rPr>
        <w:t>з ПДВ.</w:t>
      </w:r>
      <w:r w:rsidR="007C2BD8" w:rsidRPr="007C2BD8">
        <w:rPr>
          <w:sz w:val="28"/>
          <w:szCs w:val="28"/>
        </w:rPr>
        <w:t xml:space="preserve"> </w:t>
      </w:r>
    </w:p>
    <w:p w:rsidR="00677B87" w:rsidRDefault="00A0247F" w:rsidP="00677B87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677B87" w:rsidRDefault="00677B87" w:rsidP="00677B87">
      <w:bookmarkStart w:id="0" w:name="_GoBack"/>
      <w:bookmarkEnd w:id="0"/>
    </w:p>
    <w:p w:rsidR="004B14B0" w:rsidRPr="00677B87" w:rsidRDefault="00677B87" w:rsidP="00677B87">
      <w:pPr>
        <w:ind w:firstLine="709"/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у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</w:t>
      </w:r>
      <w:r w:rsidRPr="005B6B5A">
        <w:rPr>
          <w:sz w:val="28"/>
          <w:szCs w:val="28"/>
        </w:rPr>
        <w:t>здійснено на підставі середньої</w:t>
      </w:r>
    </w:p>
    <w:p w:rsidR="007B3889" w:rsidRPr="007C2BD8" w:rsidRDefault="005B6B5A" w:rsidP="00677B87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5B6B5A">
        <w:rPr>
          <w:sz w:val="28"/>
          <w:szCs w:val="28"/>
        </w:rPr>
        <w:t>ціни на ринку, а саме загальнодоступної відкритої інформації про ціни шляхом моніторингу ринкових цін на аналогіч</w:t>
      </w:r>
      <w:r w:rsidR="002621E2">
        <w:rPr>
          <w:sz w:val="28"/>
          <w:szCs w:val="28"/>
        </w:rPr>
        <w:t>ні послуги</w:t>
      </w:r>
      <w:r w:rsidRPr="005B6B5A">
        <w:rPr>
          <w:sz w:val="28"/>
          <w:szCs w:val="28"/>
        </w:rPr>
        <w:t xml:space="preserve"> в мережі Інтернет</w:t>
      </w:r>
      <w:r w:rsidR="002621E2">
        <w:rPr>
          <w:sz w:val="28"/>
          <w:szCs w:val="28"/>
        </w:rPr>
        <w:t>.</w:t>
      </w:r>
    </w:p>
    <w:p w:rsidR="00964E6F" w:rsidRPr="007C2BD8" w:rsidRDefault="00964E6F" w:rsidP="00677B87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677B87">
      <w:headerReference w:type="default" r:id="rId8"/>
      <w:headerReference w:type="first" r:id="rId9"/>
      <w:pgSz w:w="11906" w:h="16838" w:code="9"/>
      <w:pgMar w:top="142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6A1" w:rsidRDefault="003216A1">
      <w:r>
        <w:separator/>
      </w:r>
    </w:p>
  </w:endnote>
  <w:endnote w:type="continuationSeparator" w:id="0">
    <w:p w:rsidR="003216A1" w:rsidRDefault="0032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6A1" w:rsidRDefault="003216A1">
      <w:r>
        <w:separator/>
      </w:r>
    </w:p>
  </w:footnote>
  <w:footnote w:type="continuationSeparator" w:id="0">
    <w:p w:rsidR="003216A1" w:rsidRDefault="00321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E0BE3"/>
    <w:multiLevelType w:val="multilevel"/>
    <w:tmpl w:val="6D40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9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8A10EB1"/>
    <w:multiLevelType w:val="hybridMultilevel"/>
    <w:tmpl w:val="174284E2"/>
    <w:lvl w:ilvl="0" w:tplc="8A58F0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9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864AF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4A25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21E2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216A1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561A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77B87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E6819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0DB9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411F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1B5B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28C"/>
    <w:rsid w:val="00EB5A17"/>
    <w:rsid w:val="00EC0ED4"/>
    <w:rsid w:val="00EC47C6"/>
    <w:rsid w:val="00EC517E"/>
    <w:rsid w:val="00EC6309"/>
    <w:rsid w:val="00ED343B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4359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59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5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99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2024-01-25T13:59:00Z</dcterms:modified>
</cp:coreProperties>
</file>