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D3705F" w:rsidRDefault="008D709E" w:rsidP="00D3705F">
      <w:pPr>
        <w:suppressAutoHyphens w:val="0"/>
        <w:ind w:left="142"/>
        <w:jc w:val="both"/>
        <w:rPr>
          <w:b/>
          <w:sz w:val="28"/>
          <w:szCs w:val="28"/>
        </w:rPr>
      </w:pPr>
      <w:r>
        <w:rPr>
          <w:b/>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w:t>
      </w:r>
      <w:r>
        <w:rPr>
          <w:b/>
          <w:sz w:val="28"/>
          <w:szCs w:val="28"/>
        </w:rPr>
        <w:t>о</w:t>
      </w:r>
      <w:r>
        <w:rPr>
          <w:b/>
          <w:sz w:val="28"/>
          <w:szCs w:val="28"/>
        </w:rPr>
        <w:t xml:space="preserve">вно кожного лота) та назви відповідних класифікаторів предмета закупівлі і частин предмета закупівлі (лотів) (за наявності): </w:t>
      </w:r>
    </w:p>
    <w:p w:rsidR="00D3705F" w:rsidRPr="00D3705F" w:rsidRDefault="00D3705F" w:rsidP="00D3705F">
      <w:pPr>
        <w:suppressAutoHyphens w:val="0"/>
        <w:ind w:left="142"/>
        <w:jc w:val="both"/>
        <w:rPr>
          <w:sz w:val="28"/>
          <w:szCs w:val="28"/>
          <w:lang w:eastAsia="uk-UA"/>
        </w:rPr>
      </w:pPr>
      <w:r w:rsidRPr="00D3705F">
        <w:rPr>
          <w:sz w:val="28"/>
          <w:szCs w:val="28"/>
          <w:lang w:eastAsia="uk-UA"/>
        </w:rPr>
        <w:t>Послуги з технічного обслуговування та ремонту автомобільного транспорту  (код ДК 021:2015 — 50110000-9 – «Послуги з ремонту та технічного обслугов</w:t>
      </w:r>
      <w:r w:rsidRPr="00D3705F">
        <w:rPr>
          <w:sz w:val="28"/>
          <w:szCs w:val="28"/>
          <w:lang w:eastAsia="uk-UA"/>
        </w:rPr>
        <w:t>у</w:t>
      </w:r>
      <w:r w:rsidRPr="00D3705F">
        <w:rPr>
          <w:sz w:val="28"/>
          <w:szCs w:val="28"/>
          <w:lang w:eastAsia="uk-UA"/>
        </w:rPr>
        <w:t xml:space="preserve">вання </w:t>
      </w:r>
      <w:proofErr w:type="spellStart"/>
      <w:r w:rsidRPr="00D3705F">
        <w:rPr>
          <w:sz w:val="28"/>
          <w:szCs w:val="28"/>
          <w:lang w:eastAsia="uk-UA"/>
        </w:rPr>
        <w:t>мототранспортних</w:t>
      </w:r>
      <w:proofErr w:type="spellEnd"/>
      <w:r w:rsidRPr="00D3705F">
        <w:rPr>
          <w:sz w:val="28"/>
          <w:szCs w:val="28"/>
          <w:lang w:eastAsia="uk-UA"/>
        </w:rPr>
        <w:t xml:space="preserve"> засобів і супутнього обладнання»)</w:t>
      </w:r>
    </w:p>
    <w:p w:rsidR="00B60C57" w:rsidRDefault="00B60C57">
      <w:pPr>
        <w:spacing w:after="160" w:line="259" w:lineRule="auto"/>
        <w:ind w:firstLine="737"/>
        <w:contextualSpacing/>
        <w:jc w:val="both"/>
        <w:rPr>
          <w:sz w:val="28"/>
          <w:szCs w:val="28"/>
        </w:rPr>
      </w:pP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D15890">
        <w:rPr>
          <w:b/>
          <w:sz w:val="28"/>
          <w:szCs w:val="28"/>
        </w:rPr>
        <w:t>UA-2023-</w:t>
      </w:r>
      <w:r w:rsidR="00D3705F">
        <w:rPr>
          <w:b/>
          <w:sz w:val="28"/>
          <w:szCs w:val="28"/>
        </w:rPr>
        <w:t>11-02-</w:t>
      </w:r>
      <w:r w:rsidR="00D83E98">
        <w:rPr>
          <w:b/>
          <w:sz w:val="28"/>
          <w:szCs w:val="28"/>
        </w:rPr>
        <w:t>011765-а</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Pr="00AD7521" w:rsidRDefault="008D709E" w:rsidP="00475615">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515DA6">
        <w:rPr>
          <w:sz w:val="28"/>
          <w:szCs w:val="28"/>
        </w:rPr>
        <w:t xml:space="preserve">послуг </w:t>
      </w:r>
      <w:r w:rsidR="007B4699" w:rsidRPr="007B4699">
        <w:rPr>
          <w:sz w:val="28"/>
          <w:szCs w:val="28"/>
        </w:rPr>
        <w:t>з технічного обслуговування та ремонту автомобільного</w:t>
      </w:r>
      <w:r w:rsidR="007B4699">
        <w:rPr>
          <w:sz w:val="28"/>
          <w:szCs w:val="28"/>
        </w:rPr>
        <w:t xml:space="preserve"> транспорту </w:t>
      </w:r>
      <w:bookmarkStart w:id="0" w:name="_GoBack"/>
      <w:bookmarkEnd w:id="0"/>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0E07F0" w:rsidRDefault="00475615" w:rsidP="000E07F0">
      <w:pPr>
        <w:ind w:firstLine="709"/>
        <w:contextualSpacing/>
        <w:jc w:val="both"/>
        <w:rPr>
          <w:sz w:val="28"/>
          <w:szCs w:val="28"/>
          <w:lang w:eastAsia="uk-UA"/>
        </w:rPr>
      </w:pPr>
      <w:r w:rsidRPr="00475615">
        <w:rPr>
          <w:sz w:val="28"/>
          <w:szCs w:val="28"/>
          <w:lang w:eastAsia="uk-UA"/>
        </w:rPr>
        <w:t>Послуги з технічного обслуговування та ремонту автомобільного транспорту (легкового автомобіля  VOLKSWAGEN-GOLF дизельний з робочим об’ємом двигуна 1598  см3, VIN:WVWZZZAUZGP573800, 2015 року випуску)</w:t>
      </w:r>
      <w:r>
        <w:rPr>
          <w:sz w:val="28"/>
          <w:szCs w:val="28"/>
          <w:lang w:eastAsia="uk-UA"/>
        </w:rPr>
        <w:t>:</w:t>
      </w:r>
    </w:p>
    <w:p w:rsidR="00475615" w:rsidRDefault="00475615" w:rsidP="000E07F0">
      <w:pPr>
        <w:ind w:firstLine="709"/>
        <w:contextualSpacing/>
        <w:jc w:val="both"/>
        <w:rPr>
          <w:sz w:val="28"/>
          <w:szCs w:val="28"/>
          <w:lang w:eastAsia="uk-UA"/>
        </w:rPr>
      </w:pPr>
    </w:p>
    <w:tbl>
      <w:tblPr>
        <w:tblW w:w="100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6412"/>
        <w:gridCol w:w="1315"/>
        <w:gridCol w:w="1337"/>
      </w:tblGrid>
      <w:tr w:rsidR="00475615" w:rsidRPr="00475615" w:rsidTr="00594B73">
        <w:trPr>
          <w:trHeight w:val="690"/>
        </w:trPr>
        <w:tc>
          <w:tcPr>
            <w:tcW w:w="974" w:type="dxa"/>
            <w:shd w:val="clear" w:color="auto" w:fill="auto"/>
            <w:noWrap/>
            <w:vAlign w:val="center"/>
            <w:hideMark/>
          </w:tcPr>
          <w:p w:rsidR="00475615" w:rsidRPr="00475615" w:rsidRDefault="00475615" w:rsidP="00475615">
            <w:pPr>
              <w:suppressAutoHyphens w:val="0"/>
              <w:jc w:val="center"/>
              <w:rPr>
                <w:b/>
                <w:bCs/>
                <w:sz w:val="28"/>
                <w:szCs w:val="28"/>
                <w:lang w:eastAsia="uk-UA"/>
              </w:rPr>
            </w:pPr>
            <w:r w:rsidRPr="00475615">
              <w:rPr>
                <w:b/>
                <w:bCs/>
                <w:sz w:val="28"/>
                <w:szCs w:val="28"/>
                <w:lang w:eastAsia="uk-UA"/>
              </w:rPr>
              <w:t>№</w:t>
            </w:r>
          </w:p>
        </w:tc>
        <w:tc>
          <w:tcPr>
            <w:tcW w:w="6412" w:type="dxa"/>
            <w:shd w:val="clear" w:color="auto" w:fill="auto"/>
            <w:noWrap/>
            <w:vAlign w:val="center"/>
            <w:hideMark/>
          </w:tcPr>
          <w:p w:rsidR="00475615" w:rsidRPr="00475615" w:rsidRDefault="00475615" w:rsidP="00475615">
            <w:pPr>
              <w:suppressAutoHyphens w:val="0"/>
              <w:jc w:val="center"/>
              <w:rPr>
                <w:b/>
                <w:bCs/>
                <w:sz w:val="28"/>
                <w:szCs w:val="28"/>
                <w:lang w:eastAsia="uk-UA"/>
              </w:rPr>
            </w:pPr>
            <w:r w:rsidRPr="00475615">
              <w:rPr>
                <w:b/>
                <w:bCs/>
                <w:sz w:val="28"/>
                <w:szCs w:val="28"/>
                <w:lang w:eastAsia="uk-UA"/>
              </w:rPr>
              <w:t>Перелік запасних частин та матеріалів,  назва послуг</w:t>
            </w:r>
          </w:p>
        </w:tc>
        <w:tc>
          <w:tcPr>
            <w:tcW w:w="1315" w:type="dxa"/>
            <w:shd w:val="clear" w:color="auto" w:fill="auto"/>
            <w:noWrap/>
            <w:vAlign w:val="center"/>
            <w:hideMark/>
          </w:tcPr>
          <w:p w:rsidR="00475615" w:rsidRPr="00475615" w:rsidRDefault="00475615" w:rsidP="00475615">
            <w:pPr>
              <w:suppressAutoHyphens w:val="0"/>
              <w:jc w:val="center"/>
              <w:rPr>
                <w:b/>
                <w:bCs/>
                <w:sz w:val="28"/>
                <w:szCs w:val="28"/>
                <w:lang w:eastAsia="uk-UA"/>
              </w:rPr>
            </w:pPr>
            <w:proofErr w:type="spellStart"/>
            <w:r w:rsidRPr="00475615">
              <w:rPr>
                <w:b/>
                <w:bCs/>
                <w:sz w:val="28"/>
                <w:szCs w:val="28"/>
                <w:lang w:eastAsia="uk-UA"/>
              </w:rPr>
              <w:t>Кіл-ть</w:t>
            </w:r>
            <w:proofErr w:type="spellEnd"/>
          </w:p>
        </w:tc>
        <w:tc>
          <w:tcPr>
            <w:tcW w:w="1337" w:type="dxa"/>
            <w:shd w:val="clear" w:color="auto" w:fill="auto"/>
            <w:noWrap/>
            <w:vAlign w:val="center"/>
            <w:hideMark/>
          </w:tcPr>
          <w:p w:rsidR="00475615" w:rsidRPr="00475615" w:rsidRDefault="00475615" w:rsidP="00475615">
            <w:pPr>
              <w:suppressAutoHyphens w:val="0"/>
              <w:jc w:val="center"/>
              <w:rPr>
                <w:b/>
                <w:bCs/>
                <w:sz w:val="28"/>
                <w:szCs w:val="28"/>
                <w:lang w:eastAsia="uk-UA"/>
              </w:rPr>
            </w:pPr>
            <w:r w:rsidRPr="00475615">
              <w:rPr>
                <w:b/>
                <w:bCs/>
                <w:sz w:val="28"/>
                <w:szCs w:val="28"/>
                <w:lang w:eastAsia="uk-UA"/>
              </w:rPr>
              <w:t>Од.</w:t>
            </w:r>
          </w:p>
        </w:tc>
      </w:tr>
      <w:tr w:rsidR="00475615" w:rsidRPr="00475615" w:rsidTr="00594B73">
        <w:trPr>
          <w:trHeight w:val="251"/>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 xml:space="preserve">Масло 5W30 EDGE  (каністра 1літр) </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31"/>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2</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Масло 5W30 EDGE   (каністра 4 літри)</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75"/>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3</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Антифриз червоний (концентрат) HEPU (каністра 1.5 літр)</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3</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66"/>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4</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Вода дистильована (каністра 5 літрів)</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69"/>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5</w:t>
            </w:r>
          </w:p>
        </w:tc>
        <w:tc>
          <w:tcPr>
            <w:tcW w:w="6412" w:type="dxa"/>
            <w:shd w:val="clear" w:color="auto" w:fill="auto"/>
            <w:vAlign w:val="center"/>
            <w:hideMark/>
          </w:tcPr>
          <w:p w:rsidR="00475615" w:rsidRPr="00475615" w:rsidRDefault="00475615" w:rsidP="00475615">
            <w:pPr>
              <w:suppressAutoHyphens w:val="0"/>
              <w:rPr>
                <w:sz w:val="28"/>
                <w:szCs w:val="28"/>
                <w:lang w:eastAsia="uk-UA"/>
              </w:rPr>
            </w:pPr>
            <w:proofErr w:type="spellStart"/>
            <w:r w:rsidRPr="00475615">
              <w:rPr>
                <w:sz w:val="28"/>
                <w:szCs w:val="28"/>
                <w:lang w:eastAsia="uk-UA"/>
              </w:rPr>
              <w:t>Омивач</w:t>
            </w:r>
            <w:proofErr w:type="spellEnd"/>
            <w:r w:rsidRPr="00475615">
              <w:rPr>
                <w:sz w:val="28"/>
                <w:szCs w:val="28"/>
                <w:lang w:eastAsia="uk-UA"/>
              </w:rPr>
              <w:t xml:space="preserve"> скла зимовий -20 STANDARD </w:t>
            </w:r>
            <w:proofErr w:type="spellStart"/>
            <w:r w:rsidRPr="00475615">
              <w:rPr>
                <w:sz w:val="28"/>
                <w:szCs w:val="28"/>
                <w:lang w:eastAsia="uk-UA"/>
              </w:rPr>
              <w:t>Dushes</w:t>
            </w:r>
            <w:proofErr w:type="spellEnd"/>
            <w:r w:rsidRPr="00475615">
              <w:rPr>
                <w:sz w:val="28"/>
                <w:szCs w:val="28"/>
                <w:lang w:eastAsia="uk-UA"/>
              </w:rPr>
              <w:t xml:space="preserve"> </w:t>
            </w:r>
            <w:proofErr w:type="spellStart"/>
            <w:r w:rsidRPr="00475615">
              <w:rPr>
                <w:sz w:val="28"/>
                <w:szCs w:val="28"/>
                <w:lang w:eastAsia="uk-UA"/>
              </w:rPr>
              <w:t>жовт</w:t>
            </w:r>
            <w:proofErr w:type="spellEnd"/>
            <w:r w:rsidRPr="00475615">
              <w:rPr>
                <w:sz w:val="28"/>
                <w:szCs w:val="28"/>
                <w:lang w:eastAsia="uk-UA"/>
              </w:rPr>
              <w:t xml:space="preserve">. (каністра 4 літри) </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73"/>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6</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Рідина гальмівна DOT-4  (каністра 1 літр)</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91"/>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7</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 xml:space="preserve">Олива TRANSMAX MANUAL V 75W80 </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літри</w:t>
            </w:r>
          </w:p>
        </w:tc>
      </w:tr>
      <w:tr w:rsidR="00475615" w:rsidRPr="00475615" w:rsidTr="00594B73">
        <w:trPr>
          <w:trHeight w:val="268"/>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8</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Фільтр масляний ( HU7020Z)</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71"/>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9</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Фільтр паливний (KNECHT) PU8014</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75"/>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10</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Повітряний фільтр F026400287</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65"/>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lastRenderedPageBreak/>
              <w:t>11</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К-т ГРМ  (виробництва SKF) VKMC01278</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31"/>
        </w:trPr>
        <w:tc>
          <w:tcPr>
            <w:tcW w:w="974" w:type="dxa"/>
            <w:shd w:val="clear" w:color="auto" w:fill="auto"/>
            <w:noWrap/>
            <w:vAlign w:val="center"/>
          </w:tcPr>
          <w:p w:rsidR="00475615" w:rsidRPr="00475615" w:rsidRDefault="00475615" w:rsidP="00475615">
            <w:pPr>
              <w:suppressAutoHyphens w:val="0"/>
              <w:jc w:val="center"/>
              <w:rPr>
                <w:sz w:val="28"/>
                <w:szCs w:val="28"/>
                <w:lang w:eastAsia="uk-UA"/>
              </w:rPr>
            </w:pPr>
            <w:r w:rsidRPr="00475615">
              <w:rPr>
                <w:sz w:val="28"/>
                <w:szCs w:val="28"/>
                <w:lang w:eastAsia="uk-UA"/>
              </w:rPr>
              <w:t>12</w:t>
            </w:r>
          </w:p>
        </w:tc>
        <w:tc>
          <w:tcPr>
            <w:tcW w:w="6412" w:type="dxa"/>
            <w:shd w:val="clear" w:color="auto" w:fill="auto"/>
            <w:vAlign w:val="center"/>
          </w:tcPr>
          <w:p w:rsidR="00475615" w:rsidRPr="00475615" w:rsidRDefault="00475615" w:rsidP="00475615">
            <w:pPr>
              <w:suppressAutoHyphens w:val="0"/>
              <w:rPr>
                <w:sz w:val="28"/>
                <w:szCs w:val="28"/>
                <w:lang w:eastAsia="uk-UA"/>
              </w:rPr>
            </w:pPr>
            <w:r w:rsidRPr="00475615">
              <w:rPr>
                <w:sz w:val="28"/>
                <w:szCs w:val="28"/>
                <w:lang w:eastAsia="uk-UA"/>
              </w:rPr>
              <w:t xml:space="preserve">Акумулятор 12V 68 </w:t>
            </w:r>
            <w:proofErr w:type="spellStart"/>
            <w:r w:rsidRPr="00475615">
              <w:rPr>
                <w:sz w:val="28"/>
                <w:szCs w:val="28"/>
                <w:lang w:eastAsia="uk-UA"/>
              </w:rPr>
              <w:t>Ah</w:t>
            </w:r>
            <w:proofErr w:type="spellEnd"/>
          </w:p>
        </w:tc>
        <w:tc>
          <w:tcPr>
            <w:tcW w:w="1315" w:type="dxa"/>
            <w:shd w:val="clear" w:color="auto" w:fill="auto"/>
            <w:noWrap/>
            <w:vAlign w:val="center"/>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tcPr>
          <w:p w:rsidR="00475615" w:rsidRPr="00475615" w:rsidRDefault="00475615" w:rsidP="00475615">
            <w:pPr>
              <w:suppressAutoHyphens w:val="0"/>
              <w:jc w:val="center"/>
              <w:rPr>
                <w:sz w:val="28"/>
                <w:szCs w:val="28"/>
                <w:lang w:eastAsia="uk-UA"/>
              </w:rPr>
            </w:pPr>
            <w:proofErr w:type="spellStart"/>
            <w:r w:rsidRPr="00475615">
              <w:rPr>
                <w:sz w:val="28"/>
                <w:szCs w:val="28"/>
                <w:lang w:eastAsia="uk-UA"/>
              </w:rPr>
              <w:t>шт</w:t>
            </w:r>
            <w:proofErr w:type="spellEnd"/>
          </w:p>
        </w:tc>
      </w:tr>
      <w:tr w:rsidR="00475615" w:rsidRPr="00475615" w:rsidTr="00594B73">
        <w:trPr>
          <w:trHeight w:val="266"/>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13</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Заміна олива, фільтра оливи в двигуні автомобіля</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r w:rsidR="00475615" w:rsidRPr="00475615" w:rsidTr="00594B73">
        <w:trPr>
          <w:trHeight w:val="289"/>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14</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 xml:space="preserve">Заміна фільтра повітря </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r w:rsidR="00475615" w:rsidRPr="00475615" w:rsidTr="00594B73">
        <w:trPr>
          <w:trHeight w:val="266"/>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15</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Заміна паливного фільтра</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r w:rsidR="00475615" w:rsidRPr="00475615" w:rsidTr="00594B73">
        <w:trPr>
          <w:trHeight w:val="283"/>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16</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Заміна   ГРМ (</w:t>
            </w:r>
            <w:proofErr w:type="spellStart"/>
            <w:r w:rsidRPr="00475615">
              <w:rPr>
                <w:sz w:val="28"/>
                <w:szCs w:val="28"/>
                <w:lang w:eastAsia="uk-UA"/>
              </w:rPr>
              <w:t>комплект+помпа</w:t>
            </w:r>
            <w:proofErr w:type="spellEnd"/>
            <w:r w:rsidRPr="00475615">
              <w:rPr>
                <w:sz w:val="28"/>
                <w:szCs w:val="28"/>
                <w:lang w:eastAsia="uk-UA"/>
              </w:rPr>
              <w:t xml:space="preserve">) </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r w:rsidR="00475615" w:rsidRPr="00475615" w:rsidTr="00594B73">
        <w:trPr>
          <w:trHeight w:val="260"/>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17</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Заміна охолоджуючої рідини</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r w:rsidR="00475615" w:rsidRPr="00475615" w:rsidTr="00594B73">
        <w:trPr>
          <w:trHeight w:val="277"/>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18</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Долив оливи в коробку перемикання передач</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r w:rsidR="00475615" w:rsidRPr="00475615" w:rsidTr="00594B73">
        <w:trPr>
          <w:trHeight w:val="267"/>
        </w:trPr>
        <w:tc>
          <w:tcPr>
            <w:tcW w:w="974" w:type="dxa"/>
            <w:shd w:val="clear" w:color="auto" w:fill="auto"/>
            <w:noWrap/>
            <w:vAlign w:val="center"/>
          </w:tcPr>
          <w:p w:rsidR="00475615" w:rsidRPr="00475615" w:rsidRDefault="00475615" w:rsidP="00475615">
            <w:pPr>
              <w:suppressAutoHyphens w:val="0"/>
              <w:jc w:val="center"/>
              <w:rPr>
                <w:sz w:val="28"/>
                <w:szCs w:val="28"/>
                <w:lang w:eastAsia="uk-UA"/>
              </w:rPr>
            </w:pPr>
            <w:r w:rsidRPr="00475615">
              <w:rPr>
                <w:sz w:val="28"/>
                <w:szCs w:val="28"/>
                <w:lang w:eastAsia="uk-UA"/>
              </w:rPr>
              <w:t>19</w:t>
            </w:r>
          </w:p>
        </w:tc>
        <w:tc>
          <w:tcPr>
            <w:tcW w:w="6412" w:type="dxa"/>
            <w:shd w:val="clear" w:color="auto" w:fill="auto"/>
            <w:vAlign w:val="center"/>
          </w:tcPr>
          <w:p w:rsidR="00475615" w:rsidRPr="00475615" w:rsidRDefault="00475615" w:rsidP="00475615">
            <w:pPr>
              <w:suppressAutoHyphens w:val="0"/>
              <w:rPr>
                <w:sz w:val="28"/>
                <w:szCs w:val="28"/>
                <w:lang w:eastAsia="uk-UA"/>
              </w:rPr>
            </w:pPr>
            <w:r w:rsidRPr="00475615">
              <w:rPr>
                <w:sz w:val="28"/>
                <w:szCs w:val="28"/>
                <w:lang w:eastAsia="uk-UA"/>
              </w:rPr>
              <w:t>Заміна акумулятора</w:t>
            </w:r>
          </w:p>
        </w:tc>
        <w:tc>
          <w:tcPr>
            <w:tcW w:w="1315" w:type="dxa"/>
            <w:shd w:val="clear" w:color="auto" w:fill="auto"/>
            <w:noWrap/>
            <w:vAlign w:val="center"/>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r w:rsidR="00475615" w:rsidRPr="00475615" w:rsidTr="00594B73">
        <w:trPr>
          <w:trHeight w:val="267"/>
        </w:trPr>
        <w:tc>
          <w:tcPr>
            <w:tcW w:w="974"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20</w:t>
            </w:r>
          </w:p>
        </w:tc>
        <w:tc>
          <w:tcPr>
            <w:tcW w:w="6412" w:type="dxa"/>
            <w:shd w:val="clear" w:color="auto" w:fill="auto"/>
            <w:vAlign w:val="center"/>
            <w:hideMark/>
          </w:tcPr>
          <w:p w:rsidR="00475615" w:rsidRPr="00475615" w:rsidRDefault="00475615" w:rsidP="00475615">
            <w:pPr>
              <w:suppressAutoHyphens w:val="0"/>
              <w:rPr>
                <w:sz w:val="28"/>
                <w:szCs w:val="28"/>
                <w:lang w:eastAsia="uk-UA"/>
              </w:rPr>
            </w:pPr>
            <w:r w:rsidRPr="00475615">
              <w:rPr>
                <w:sz w:val="28"/>
                <w:szCs w:val="28"/>
                <w:lang w:eastAsia="uk-UA"/>
              </w:rPr>
              <w:t xml:space="preserve">Долив гальмівної рідини </w:t>
            </w:r>
          </w:p>
        </w:tc>
        <w:tc>
          <w:tcPr>
            <w:tcW w:w="1315"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1</w:t>
            </w:r>
          </w:p>
        </w:tc>
        <w:tc>
          <w:tcPr>
            <w:tcW w:w="1337" w:type="dxa"/>
            <w:shd w:val="clear" w:color="auto" w:fill="auto"/>
            <w:noWrap/>
            <w:vAlign w:val="center"/>
            <w:hideMark/>
          </w:tcPr>
          <w:p w:rsidR="00475615" w:rsidRPr="00475615" w:rsidRDefault="00475615" w:rsidP="00475615">
            <w:pPr>
              <w:suppressAutoHyphens w:val="0"/>
              <w:jc w:val="center"/>
              <w:rPr>
                <w:sz w:val="28"/>
                <w:szCs w:val="28"/>
                <w:lang w:eastAsia="uk-UA"/>
              </w:rPr>
            </w:pPr>
            <w:r w:rsidRPr="00475615">
              <w:rPr>
                <w:sz w:val="28"/>
                <w:szCs w:val="28"/>
                <w:lang w:eastAsia="uk-UA"/>
              </w:rPr>
              <w:t>послуга</w:t>
            </w:r>
          </w:p>
        </w:tc>
      </w:tr>
    </w:tbl>
    <w:p w:rsidR="00475615" w:rsidRPr="000E07F0" w:rsidRDefault="00475615" w:rsidP="00475615">
      <w:pPr>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FE3621"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sidR="00FE3621">
        <w:rPr>
          <w:sz w:val="28"/>
          <w:szCs w:val="28"/>
        </w:rPr>
        <w:t>4</w:t>
      </w:r>
      <w:r w:rsidR="00FE3621" w:rsidRPr="00FE3621">
        <w:rPr>
          <w:sz w:val="28"/>
          <w:szCs w:val="28"/>
        </w:rPr>
        <w:t>0</w:t>
      </w:r>
    </w:p>
    <w:p w:rsidR="00FE3621" w:rsidRDefault="00FE3621">
      <w:pPr>
        <w:ind w:firstLine="709"/>
        <w:contextualSpacing/>
        <w:jc w:val="both"/>
        <w:rPr>
          <w:b/>
          <w:sz w:val="28"/>
          <w:szCs w:val="28"/>
        </w:rPr>
      </w:pPr>
    </w:p>
    <w:p w:rsidR="00604D0F"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475615" w:rsidRPr="00475615">
        <w:rPr>
          <w:sz w:val="28"/>
          <w:szCs w:val="28"/>
        </w:rPr>
        <w:t>28200,00  грн. (двадцять вісім тисяч двісті  гривень 00 копійок)</w:t>
      </w:r>
    </w:p>
    <w:p w:rsidR="00475615" w:rsidRDefault="00475615">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CE5" w:rsidRDefault="00B71CE5">
      <w:r>
        <w:separator/>
      </w:r>
    </w:p>
  </w:endnote>
  <w:endnote w:type="continuationSeparator" w:id="0">
    <w:p w:rsidR="00B71CE5" w:rsidRDefault="00B7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CE5" w:rsidRDefault="00B71CE5">
      <w:r>
        <w:separator/>
      </w:r>
    </w:p>
  </w:footnote>
  <w:footnote w:type="continuationSeparator" w:id="0">
    <w:p w:rsidR="00B71CE5" w:rsidRDefault="00B71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575DF"/>
    <w:rsid w:val="00190E91"/>
    <w:rsid w:val="001C182C"/>
    <w:rsid w:val="001F3959"/>
    <w:rsid w:val="00405992"/>
    <w:rsid w:val="00427268"/>
    <w:rsid w:val="00475615"/>
    <w:rsid w:val="00515DA6"/>
    <w:rsid w:val="00527037"/>
    <w:rsid w:val="005D7820"/>
    <w:rsid w:val="00604D0F"/>
    <w:rsid w:val="00633156"/>
    <w:rsid w:val="006946ED"/>
    <w:rsid w:val="00753854"/>
    <w:rsid w:val="007B4699"/>
    <w:rsid w:val="007D7573"/>
    <w:rsid w:val="008D709E"/>
    <w:rsid w:val="009D46B9"/>
    <w:rsid w:val="00AD7521"/>
    <w:rsid w:val="00AF3F5A"/>
    <w:rsid w:val="00AF46F4"/>
    <w:rsid w:val="00B131F0"/>
    <w:rsid w:val="00B47391"/>
    <w:rsid w:val="00B60C57"/>
    <w:rsid w:val="00B71CE5"/>
    <w:rsid w:val="00C63FA8"/>
    <w:rsid w:val="00C77386"/>
    <w:rsid w:val="00CA65B5"/>
    <w:rsid w:val="00D15890"/>
    <w:rsid w:val="00D3705F"/>
    <w:rsid w:val="00D83E98"/>
    <w:rsid w:val="00DB1929"/>
    <w:rsid w:val="00E1552E"/>
    <w:rsid w:val="00E70817"/>
    <w:rsid w:val="00ED2860"/>
    <w:rsid w:val="00EF71CE"/>
    <w:rsid w:val="00F6781E"/>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2364</Words>
  <Characters>1349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5</cp:revision>
  <dcterms:created xsi:type="dcterms:W3CDTF">2023-12-28T08:02:00Z</dcterms:created>
  <dcterms:modified xsi:type="dcterms:W3CDTF">2023-12-28T08:22:00Z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