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B7596" w14:textId="77777777" w:rsidR="006E0648" w:rsidRPr="00110FD6" w:rsidRDefault="006E0648" w:rsidP="006E0648">
      <w:pPr>
        <w:contextualSpacing/>
        <w:jc w:val="center"/>
        <w:rPr>
          <w:b/>
        </w:rPr>
      </w:pPr>
      <w:bookmarkStart w:id="0" w:name="_GoBack"/>
      <w:bookmarkEnd w:id="0"/>
      <w:r w:rsidRPr="00110FD6">
        <w:rPr>
          <w:b/>
        </w:rPr>
        <w:t>ОБҐРУНТУВАННЯ ТЕХНІЧНИХ ТА ЯКІСНИХ ХАРАКТЕРИСТИК ПРЕДМЕТА</w:t>
      </w:r>
      <w:r w:rsidRPr="00110FD6">
        <w:rPr>
          <w:b/>
          <w:lang w:val="ru-RU"/>
        </w:rPr>
        <w:t xml:space="preserve"> </w:t>
      </w:r>
      <w:r w:rsidRPr="00110FD6">
        <w:rPr>
          <w:b/>
        </w:rPr>
        <w:t>ЗАКУПІВЛІ, РОЗМІРУ БЮДЖЕТНОГО ПРИЗНАЧЕННЯ, ОЧІКУВАНОЇ</w:t>
      </w:r>
      <w:r w:rsidRPr="00110FD6">
        <w:rPr>
          <w:b/>
          <w:lang w:val="ru-RU"/>
        </w:rPr>
        <w:t xml:space="preserve"> </w:t>
      </w:r>
      <w:r w:rsidRPr="00110FD6">
        <w:rPr>
          <w:b/>
        </w:rPr>
        <w:t>ВАРТОСТІ ПРЕДМЕТА ЗАКУПІВЛІ</w:t>
      </w:r>
    </w:p>
    <w:p w14:paraId="483AE19F" w14:textId="77777777" w:rsidR="007919B9" w:rsidRPr="009124F0" w:rsidRDefault="006E0648" w:rsidP="006E0648">
      <w:pPr>
        <w:contextualSpacing/>
        <w:jc w:val="center"/>
      </w:pPr>
      <w:r w:rsidRPr="009124F0">
        <w:t xml:space="preserve">(відповідно до пункту </w:t>
      </w:r>
      <w:r w:rsidR="00673C61" w:rsidRPr="009124F0">
        <w:t>4</w:t>
      </w:r>
      <w:r w:rsidR="00673C61" w:rsidRPr="009124F0">
        <w:rPr>
          <w:vertAlign w:val="superscript"/>
        </w:rPr>
        <w:t>1</w:t>
      </w:r>
      <w:r w:rsidRPr="009124F0">
        <w:t xml:space="preserve"> постанови КМУ від 11.10.2016 № 710 </w:t>
      </w:r>
    </w:p>
    <w:p w14:paraId="15EE5A58" w14:textId="77777777" w:rsidR="006E0648" w:rsidRPr="009124F0" w:rsidRDefault="006E0648" w:rsidP="006E0648">
      <w:pPr>
        <w:contextualSpacing/>
        <w:jc w:val="center"/>
      </w:pPr>
      <w:r w:rsidRPr="009124F0">
        <w:t>«Про ефективне</w:t>
      </w:r>
      <w:r w:rsidR="007919B9" w:rsidRPr="009124F0">
        <w:t xml:space="preserve"> </w:t>
      </w:r>
      <w:r w:rsidRPr="009124F0">
        <w:t>використання державних коштів» (зі змінами))</w:t>
      </w:r>
    </w:p>
    <w:p w14:paraId="740CA3AE" w14:textId="77777777" w:rsidR="006E0648" w:rsidRPr="00110FD6" w:rsidRDefault="006E0648" w:rsidP="006E0648">
      <w:pPr>
        <w:contextualSpacing/>
        <w:jc w:val="center"/>
        <w:rPr>
          <w:b/>
        </w:rPr>
      </w:pPr>
    </w:p>
    <w:p w14:paraId="23F02F84" w14:textId="666DDDA5" w:rsidR="006E0648" w:rsidRPr="00664738" w:rsidRDefault="006E0648" w:rsidP="007919B9">
      <w:pPr>
        <w:ind w:firstLine="567"/>
        <w:contextualSpacing/>
        <w:jc w:val="both"/>
      </w:pPr>
      <w:r w:rsidRPr="00110FD6">
        <w:rPr>
          <w:b/>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w:t>
      </w:r>
      <w:r w:rsidRPr="00664738">
        <w:rPr>
          <w:b/>
        </w:rPr>
        <w:t xml:space="preserve">громадських формувань, його категорія: </w:t>
      </w:r>
      <w:r w:rsidR="00110FD6" w:rsidRPr="00664738">
        <w:t xml:space="preserve">Луганська </w:t>
      </w:r>
      <w:r w:rsidR="00452DA4" w:rsidRPr="00664738">
        <w:t xml:space="preserve">митниця; вул. </w:t>
      </w:r>
      <w:r w:rsidR="00110FD6" w:rsidRPr="00664738">
        <w:t>Дегтярівська, 11Г</w:t>
      </w:r>
      <w:r w:rsidR="00452DA4" w:rsidRPr="00664738">
        <w:t xml:space="preserve">, м. </w:t>
      </w:r>
      <w:r w:rsidR="00110FD6" w:rsidRPr="00664738">
        <w:t>Київ</w:t>
      </w:r>
      <w:r w:rsidR="00452DA4" w:rsidRPr="00664738">
        <w:t xml:space="preserve">, </w:t>
      </w:r>
      <w:r w:rsidR="00664738" w:rsidRPr="00664738">
        <w:t>04119</w:t>
      </w:r>
      <w:r w:rsidRPr="00664738">
        <w:t xml:space="preserve">; код ЄДРПОУ </w:t>
      </w:r>
      <w:r w:rsidR="006438F8" w:rsidRPr="00664738">
        <w:t>ВП:</w:t>
      </w:r>
      <w:r w:rsidRPr="00664738">
        <w:t xml:space="preserve"> </w:t>
      </w:r>
      <w:r w:rsidR="00664738" w:rsidRPr="00664738">
        <w:t>44030626</w:t>
      </w:r>
      <w:r w:rsidRPr="00664738">
        <w:t>; категорія замовника – орган державної  влади.</w:t>
      </w:r>
    </w:p>
    <w:p w14:paraId="505BA49B" w14:textId="77777777" w:rsidR="006E0648" w:rsidRPr="00110FD6" w:rsidRDefault="006E0648" w:rsidP="007919B9">
      <w:pPr>
        <w:ind w:firstLine="567"/>
        <w:contextualSpacing/>
        <w:jc w:val="both"/>
        <w:rPr>
          <w:color w:val="FF0000"/>
        </w:rPr>
      </w:pPr>
    </w:p>
    <w:p w14:paraId="66C6BD5A" w14:textId="4D2773BA" w:rsidR="00006754" w:rsidRPr="00AF520C" w:rsidRDefault="006E0648" w:rsidP="00006754">
      <w:pPr>
        <w:ind w:firstLine="567"/>
        <w:contextualSpacing/>
        <w:jc w:val="both"/>
      </w:pPr>
      <w:r w:rsidRPr="00FC30D5">
        <w:rPr>
          <w:b/>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C30D5" w:rsidRPr="009124F0">
        <w:t xml:space="preserve">Послуги із заправки та відновлення картриджів за кодом </w:t>
      </w:r>
      <w:r w:rsidR="00FC30D5" w:rsidRPr="00AF520C">
        <w:t>ДК 021:2015 50310000-1 – Технічне обслуговування і ремонт офісної техніки  (ДК 021:2015 50313000-2 – Технічне обслуговування і ремонт копіювально-розмножувальної техніки)</w:t>
      </w:r>
      <w:r w:rsidR="00FC30D5" w:rsidRPr="00AF520C">
        <w:rPr>
          <w:szCs w:val="20"/>
        </w:rPr>
        <w:t xml:space="preserve"> </w:t>
      </w:r>
    </w:p>
    <w:p w14:paraId="715B06E0" w14:textId="77777777" w:rsidR="00006754" w:rsidRPr="00AF520C" w:rsidRDefault="00006754" w:rsidP="00006754">
      <w:pPr>
        <w:tabs>
          <w:tab w:val="left" w:pos="360"/>
          <w:tab w:val="left" w:pos="720"/>
        </w:tabs>
        <w:contextualSpacing/>
        <w:jc w:val="both"/>
        <w:rPr>
          <w:rFonts w:eastAsia="Calibri"/>
        </w:rPr>
      </w:pPr>
    </w:p>
    <w:p w14:paraId="4C23AFC4" w14:textId="546C2A49" w:rsidR="00B661EC" w:rsidRPr="00AF520C" w:rsidRDefault="007C2BD8" w:rsidP="00C908AE">
      <w:pPr>
        <w:tabs>
          <w:tab w:val="left" w:pos="360"/>
          <w:tab w:val="left" w:pos="567"/>
        </w:tabs>
        <w:contextualSpacing/>
        <w:jc w:val="both"/>
      </w:pPr>
      <w:r w:rsidRPr="00AF520C">
        <w:rPr>
          <w:rFonts w:eastAsia="Calibri"/>
        </w:rPr>
        <w:t xml:space="preserve"> </w:t>
      </w:r>
      <w:r w:rsidR="00006754" w:rsidRPr="00AF520C">
        <w:rPr>
          <w:rFonts w:eastAsia="Calibri"/>
        </w:rPr>
        <w:tab/>
      </w:r>
      <w:r w:rsidR="00006754" w:rsidRPr="00AF520C">
        <w:rPr>
          <w:rFonts w:eastAsia="Calibri"/>
        </w:rPr>
        <w:tab/>
      </w:r>
      <w:r w:rsidR="006E0648" w:rsidRPr="00AF520C">
        <w:rPr>
          <w:b/>
        </w:rPr>
        <w:t>3. Ідентифікатор закупів</w:t>
      </w:r>
      <w:r w:rsidRPr="00AF520C">
        <w:rPr>
          <w:b/>
        </w:rPr>
        <w:t>л</w:t>
      </w:r>
      <w:r w:rsidR="00AF41A4" w:rsidRPr="00AF520C">
        <w:rPr>
          <w:b/>
        </w:rPr>
        <w:t>і</w:t>
      </w:r>
      <w:r w:rsidR="006E0648" w:rsidRPr="00AF520C">
        <w:rPr>
          <w:b/>
        </w:rPr>
        <w:t xml:space="preserve">: — </w:t>
      </w:r>
      <w:r w:rsidR="00050EB6" w:rsidRPr="00AF520C">
        <w:rPr>
          <w:lang w:val="en-US"/>
        </w:rPr>
        <w:t>UA</w:t>
      </w:r>
      <w:r w:rsidR="00050EB6" w:rsidRPr="00AF520C">
        <w:t>-202</w:t>
      </w:r>
      <w:r w:rsidR="009124F0" w:rsidRPr="00AF520C">
        <w:t>4</w:t>
      </w:r>
      <w:r w:rsidR="00050EB6" w:rsidRPr="00AF520C">
        <w:t>-</w:t>
      </w:r>
      <w:r w:rsidR="009124F0" w:rsidRPr="00AF520C">
        <w:t>04</w:t>
      </w:r>
      <w:r w:rsidR="00050EB6" w:rsidRPr="00AF520C">
        <w:t>-1</w:t>
      </w:r>
      <w:r w:rsidR="009124F0" w:rsidRPr="00AF520C">
        <w:t>5</w:t>
      </w:r>
      <w:r w:rsidR="00050EB6" w:rsidRPr="00AF520C">
        <w:t>-0</w:t>
      </w:r>
      <w:r w:rsidR="009124F0" w:rsidRPr="00AF520C">
        <w:t>11142</w:t>
      </w:r>
      <w:r w:rsidR="00050EB6" w:rsidRPr="00AF520C">
        <w:t>-</w:t>
      </w:r>
      <w:r w:rsidR="00050EB6" w:rsidRPr="00AF520C">
        <w:rPr>
          <w:lang w:val="en-US"/>
        </w:rPr>
        <w:t>a</w:t>
      </w:r>
      <w:r w:rsidR="00664738" w:rsidRPr="00AF520C">
        <w:t xml:space="preserve"> </w:t>
      </w:r>
    </w:p>
    <w:p w14:paraId="101ADDBA" w14:textId="77777777" w:rsidR="00C908AE" w:rsidRPr="00AF520C" w:rsidRDefault="00C908AE" w:rsidP="00C908AE">
      <w:pPr>
        <w:tabs>
          <w:tab w:val="left" w:pos="360"/>
          <w:tab w:val="left" w:pos="567"/>
        </w:tabs>
        <w:contextualSpacing/>
        <w:jc w:val="both"/>
        <w:rPr>
          <w:b/>
        </w:rPr>
      </w:pPr>
    </w:p>
    <w:p w14:paraId="71B8F525" w14:textId="77777777" w:rsidR="00006754" w:rsidRPr="00AF520C" w:rsidRDefault="00A0247F" w:rsidP="007919B9">
      <w:pPr>
        <w:ind w:firstLine="567"/>
        <w:contextualSpacing/>
        <w:jc w:val="both"/>
      </w:pPr>
      <w:r w:rsidRPr="00AF520C">
        <w:rPr>
          <w:b/>
        </w:rPr>
        <w:t>4. Обґрунтування технічних та якісних характеристик предмета закупівлі:</w:t>
      </w:r>
      <w:r w:rsidRPr="00AF520C">
        <w:t xml:space="preserve"> технічні та якісні характеристики предмета закупівлі визначені відповідно до потреб замовника</w:t>
      </w:r>
      <w:r w:rsidR="00006754" w:rsidRPr="00AF520C">
        <w:t>.</w:t>
      </w:r>
    </w:p>
    <w:p w14:paraId="757A8CF5" w14:textId="2EDFD01D" w:rsidR="009C2CC9" w:rsidRPr="00AF520C" w:rsidRDefault="009C2CC9" w:rsidP="009C2CC9">
      <w:pPr>
        <w:ind w:firstLine="709"/>
        <w:contextualSpacing/>
        <w:mirrorIndents/>
        <w:jc w:val="center"/>
        <w:rPr>
          <w:b/>
          <w:iCs/>
        </w:rPr>
      </w:pPr>
      <w:r w:rsidRPr="00AF520C">
        <w:rPr>
          <w:b/>
        </w:rPr>
        <w:t xml:space="preserve">ІНФОРМАЦІЯ ПРО ТЕХНІЧНІ, ЯКІСНІ ТА КІЛЬКІСНІ ХАРАКТЕРИСТИКИ </w:t>
      </w:r>
      <w:r w:rsidRPr="00AF520C">
        <w:rPr>
          <w:b/>
          <w:iCs/>
        </w:rPr>
        <w:t>ПРЕДМЕТА ЗАКУПІВЛІ</w:t>
      </w:r>
    </w:p>
    <w:p w14:paraId="5B3FA334" w14:textId="3364E459" w:rsidR="00F40A82" w:rsidRPr="00AF520C" w:rsidRDefault="00F40A82" w:rsidP="009C2CC9">
      <w:pPr>
        <w:ind w:firstLine="709"/>
        <w:contextualSpacing/>
        <w:mirrorIndents/>
        <w:jc w:val="center"/>
        <w:rPr>
          <w:b/>
          <w:iCs/>
        </w:rPr>
      </w:pPr>
    </w:p>
    <w:p w14:paraId="4098F7BC" w14:textId="4764B320" w:rsidR="00F40A82" w:rsidRPr="00AF520C" w:rsidRDefault="00F40A82" w:rsidP="009C2CC9">
      <w:pPr>
        <w:ind w:firstLine="709"/>
        <w:contextualSpacing/>
        <w:mirrorIndents/>
        <w:jc w:val="center"/>
        <w:rPr>
          <w:b/>
          <w:iCs/>
        </w:rPr>
      </w:pPr>
    </w:p>
    <w:p w14:paraId="55F5020F" w14:textId="07F21BF3"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1. Виконавець повинен мати приміщення сервісного центру, яке обладнане для надання всіх Послуг, в тому числі, наявність парку друкуючої техніки для проведення технічної експертизи та тестування картриджів після заправки або відновлення, наявність власного підмінного фонду друкуючої техніки;</w:t>
      </w:r>
    </w:p>
    <w:p w14:paraId="335CEB0B" w14:textId="1B6CCADB"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2. гарантія на заправку/відновлення картриджів повинна діяти на увесь строк його використання впродовж ресурсу заправки;</w:t>
      </w:r>
    </w:p>
    <w:p w14:paraId="0EB1C690" w14:textId="387E12FB"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3. при забрудненні техніки або виходу її з ладу через несправність картриджу відповідальність несе Виконавець. Виконавець повинен гарантувати ремонт принтерів Замовника за свій рахунок, якщо потреба ремонту була наслідком використання неякісно зібраного картриджа після його відновлення. На період ремонту таких принтерів Виконавець повинен надати Замовнику свої справні принтери аналогічної моделі з аналогічними технічними параметрами;</w:t>
      </w:r>
    </w:p>
    <w:p w14:paraId="551B3351" w14:textId="456E2961"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 xml:space="preserve">4. Виконавець у разі неякісної заправки картриджа повинен здійснити </w:t>
      </w:r>
      <w:proofErr w:type="spellStart"/>
      <w:r w:rsidRPr="00AF520C">
        <w:rPr>
          <w:rFonts w:ascii="Times New Roman" w:hAnsi="Times New Roman" w:cs="Times New Roman"/>
          <w:sz w:val="28"/>
          <w:szCs w:val="28"/>
        </w:rPr>
        <w:t>перезаправку</w:t>
      </w:r>
      <w:proofErr w:type="spellEnd"/>
      <w:r w:rsidRPr="00AF520C">
        <w:rPr>
          <w:rFonts w:ascii="Times New Roman" w:hAnsi="Times New Roman" w:cs="Times New Roman"/>
          <w:sz w:val="28"/>
          <w:szCs w:val="28"/>
        </w:rPr>
        <w:t xml:space="preserve"> картриджа за свій рахунок і провести роботи по очищенню забруднень принтера, пов’язаних з осипанням </w:t>
      </w:r>
      <w:proofErr w:type="spellStart"/>
      <w:r w:rsidRPr="00AF520C">
        <w:rPr>
          <w:rFonts w:ascii="Times New Roman" w:hAnsi="Times New Roman" w:cs="Times New Roman"/>
          <w:sz w:val="28"/>
          <w:szCs w:val="28"/>
        </w:rPr>
        <w:t>тонера</w:t>
      </w:r>
      <w:proofErr w:type="spellEnd"/>
      <w:r w:rsidRPr="00AF520C">
        <w:rPr>
          <w:rFonts w:ascii="Times New Roman" w:hAnsi="Times New Roman" w:cs="Times New Roman"/>
          <w:sz w:val="28"/>
          <w:szCs w:val="28"/>
        </w:rPr>
        <w:t>;</w:t>
      </w:r>
    </w:p>
    <w:p w14:paraId="0F8C7C53" w14:textId="6CB0DA44"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5. Періодичність надання Послуг: постійно, по мірі необхідності (згідно з заявками Замовника);</w:t>
      </w:r>
    </w:p>
    <w:p w14:paraId="1B8A4416" w14:textId="29F96422"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 xml:space="preserve">6. всі матеріали, обладнання та запасні частини, які застосовуються при наданні Послуг, повинні буди сертифіковані і відповідати вимогам, діючим на території України для даного виду матеріалів, обладнання, конструкцій та </w:t>
      </w:r>
      <w:r w:rsidRPr="00AF520C">
        <w:rPr>
          <w:rFonts w:ascii="Times New Roman" w:hAnsi="Times New Roman" w:cs="Times New Roman"/>
          <w:sz w:val="28"/>
          <w:szCs w:val="28"/>
        </w:rPr>
        <w:lastRenderedPageBreak/>
        <w:t>запасних частин;</w:t>
      </w:r>
    </w:p>
    <w:p w14:paraId="2262C1DB" w14:textId="2C58CF18"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7. на складі Виконавця повинен бути певний резерв ресурсних запасних частин і витратних матеріалів для планової заміни. Усі запчастини повинні бути новими, оригінальними (або аналогічними, але не гіршими, ніж оригінальні) та у працездатному стані;</w:t>
      </w:r>
    </w:p>
    <w:p w14:paraId="41B3BB6F" w14:textId="7DFD35CE"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8. якість витратних матеріалів визначається шляхом друку пробної сторінки, що не повинна мати дефектів друку (сірий фон, регулярні сторонні сліди,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w:t>
      </w:r>
    </w:p>
    <w:p w14:paraId="272A791A" w14:textId="468B56BC"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9. кількість відбитків, належної якості, заправленого чи відновленого картриджа повинна бути не менша ніж 85% кількості відбитків нового аналогічного картриджа, заявленої виробником;</w:t>
      </w:r>
    </w:p>
    <w:p w14:paraId="2374A3E1" w14:textId="3D803B0D" w:rsidR="00F40A82" w:rsidRPr="00AF520C" w:rsidRDefault="00F40A82" w:rsidP="00F40A82">
      <w:pPr>
        <w:pStyle w:val="af"/>
        <w:widowControl w:val="0"/>
        <w:tabs>
          <w:tab w:val="left" w:pos="989"/>
        </w:tabs>
        <w:ind w:left="0" w:firstLine="567"/>
        <w:jc w:val="both"/>
        <w:rPr>
          <w:rFonts w:ascii="Times New Roman" w:hAnsi="Times New Roman" w:cs="Times New Roman"/>
          <w:sz w:val="28"/>
          <w:szCs w:val="28"/>
        </w:rPr>
      </w:pPr>
      <w:r w:rsidRPr="00AF520C">
        <w:rPr>
          <w:rFonts w:ascii="Times New Roman" w:hAnsi="Times New Roman" w:cs="Times New Roman"/>
          <w:sz w:val="28"/>
          <w:szCs w:val="28"/>
        </w:rPr>
        <w:t>10. після здійснення заправки або відновлювання картриджа Виконавець зобов’язаний провести його технічну експертизу та тестування на друкуючому пристрої;</w:t>
      </w:r>
    </w:p>
    <w:p w14:paraId="4CBFA283" w14:textId="11D6274C" w:rsidR="00F40A82" w:rsidRPr="00AF520C" w:rsidRDefault="00F40A82" w:rsidP="00F40A82">
      <w:pPr>
        <w:pStyle w:val="af"/>
        <w:widowControl w:val="0"/>
        <w:tabs>
          <w:tab w:val="left" w:pos="851"/>
          <w:tab w:val="left" w:pos="989"/>
          <w:tab w:val="left" w:pos="1134"/>
        </w:tabs>
        <w:overflowPunct w:val="0"/>
        <w:autoSpaceDE w:val="0"/>
        <w:autoSpaceDN w:val="0"/>
        <w:adjustRightInd w:val="0"/>
        <w:ind w:left="0" w:firstLine="567"/>
        <w:jc w:val="both"/>
        <w:textAlignment w:val="baseline"/>
        <w:rPr>
          <w:rFonts w:ascii="Times New Roman" w:hAnsi="Times New Roman" w:cs="Times New Roman"/>
          <w:sz w:val="28"/>
          <w:szCs w:val="28"/>
        </w:rPr>
      </w:pPr>
      <w:r w:rsidRPr="00AF520C">
        <w:rPr>
          <w:rFonts w:ascii="Times New Roman" w:hAnsi="Times New Roman" w:cs="Times New Roman"/>
          <w:sz w:val="28"/>
          <w:szCs w:val="28"/>
        </w:rPr>
        <w:t>11. картридж повинен бути упакований у герметичний світлонепроникний пакет з тестовою сторінкою, мати на корпусі фірмову наклейку з відмітками про виконані Послуги та підписом відповідального працівника Виконавця.</w:t>
      </w:r>
    </w:p>
    <w:p w14:paraId="7D38A591" w14:textId="77777777" w:rsidR="00F40A82" w:rsidRPr="00AF520C" w:rsidRDefault="00F40A82" w:rsidP="009C2CC9">
      <w:pPr>
        <w:ind w:firstLine="709"/>
        <w:contextualSpacing/>
        <w:mirrorIndents/>
        <w:jc w:val="center"/>
        <w:rPr>
          <w:b/>
          <w:iCs/>
        </w:rPr>
      </w:pPr>
    </w:p>
    <w:tbl>
      <w:tblPr>
        <w:tblStyle w:val="ae"/>
        <w:tblW w:w="9251" w:type="dxa"/>
        <w:jc w:val="center"/>
        <w:tblLook w:val="04A0" w:firstRow="1" w:lastRow="0" w:firstColumn="1" w:lastColumn="0" w:noHBand="0" w:noVBand="1"/>
      </w:tblPr>
      <w:tblGrid>
        <w:gridCol w:w="611"/>
        <w:gridCol w:w="3369"/>
        <w:gridCol w:w="1539"/>
        <w:gridCol w:w="879"/>
        <w:gridCol w:w="2853"/>
      </w:tblGrid>
      <w:tr w:rsidR="00AF520C" w:rsidRPr="00AF520C" w14:paraId="28EDC148" w14:textId="77777777" w:rsidTr="00F93D25">
        <w:trPr>
          <w:trHeight w:val="611"/>
          <w:jc w:val="center"/>
        </w:trPr>
        <w:tc>
          <w:tcPr>
            <w:tcW w:w="611" w:type="dxa"/>
            <w:vAlign w:val="center"/>
            <w:hideMark/>
          </w:tcPr>
          <w:p w14:paraId="41D94ECF" w14:textId="77777777" w:rsidR="00050EB6" w:rsidRPr="00AF520C" w:rsidRDefault="00050EB6" w:rsidP="00F93D25">
            <w:pPr>
              <w:shd w:val="clear" w:color="auto" w:fill="FFFFFF"/>
              <w:ind w:right="-28"/>
              <w:jc w:val="center"/>
            </w:pPr>
            <w:r w:rsidRPr="00AF520C">
              <w:t>№ з/п</w:t>
            </w:r>
          </w:p>
        </w:tc>
        <w:tc>
          <w:tcPr>
            <w:tcW w:w="3369" w:type="dxa"/>
            <w:vAlign w:val="center"/>
            <w:hideMark/>
          </w:tcPr>
          <w:p w14:paraId="48B12035" w14:textId="77777777" w:rsidR="00050EB6" w:rsidRPr="00AF520C" w:rsidRDefault="00050EB6" w:rsidP="00F93D25">
            <w:pPr>
              <w:shd w:val="clear" w:color="auto" w:fill="FFFFFF"/>
              <w:ind w:right="-28"/>
              <w:jc w:val="center"/>
            </w:pPr>
            <w:r w:rsidRPr="00AF520C">
              <w:t>Перелік обладнання</w:t>
            </w:r>
          </w:p>
        </w:tc>
        <w:tc>
          <w:tcPr>
            <w:tcW w:w="1539" w:type="dxa"/>
            <w:vAlign w:val="center"/>
            <w:hideMark/>
          </w:tcPr>
          <w:p w14:paraId="4E2D7642" w14:textId="77777777" w:rsidR="00050EB6" w:rsidRPr="00AF520C" w:rsidRDefault="00050EB6" w:rsidP="00F93D25">
            <w:pPr>
              <w:shd w:val="clear" w:color="auto" w:fill="FFFFFF"/>
              <w:ind w:right="-28"/>
              <w:jc w:val="center"/>
            </w:pPr>
            <w:r w:rsidRPr="00AF520C">
              <w:t>Вид послуг</w:t>
            </w:r>
          </w:p>
        </w:tc>
        <w:tc>
          <w:tcPr>
            <w:tcW w:w="879" w:type="dxa"/>
            <w:vAlign w:val="center"/>
            <w:hideMark/>
          </w:tcPr>
          <w:p w14:paraId="411E961F" w14:textId="77777777" w:rsidR="00050EB6" w:rsidRPr="00AF520C" w:rsidRDefault="00050EB6" w:rsidP="00F93D25">
            <w:pPr>
              <w:shd w:val="clear" w:color="auto" w:fill="FFFFFF"/>
              <w:ind w:right="-28"/>
              <w:jc w:val="center"/>
            </w:pPr>
            <w:r w:rsidRPr="00AF520C">
              <w:t>К-сть</w:t>
            </w:r>
          </w:p>
        </w:tc>
        <w:tc>
          <w:tcPr>
            <w:tcW w:w="2853" w:type="dxa"/>
            <w:vAlign w:val="center"/>
          </w:tcPr>
          <w:p w14:paraId="4D71FC6D" w14:textId="77777777" w:rsidR="00050EB6" w:rsidRPr="00AF520C" w:rsidRDefault="00050EB6" w:rsidP="00F93D25">
            <w:pPr>
              <w:shd w:val="clear" w:color="auto" w:fill="FFFFFF"/>
              <w:ind w:right="-28"/>
              <w:jc w:val="center"/>
            </w:pPr>
            <w:r w:rsidRPr="00AF520C">
              <w:t>Місце надання послуг</w:t>
            </w:r>
          </w:p>
        </w:tc>
      </w:tr>
      <w:tr w:rsidR="00AF520C" w:rsidRPr="00AF520C" w14:paraId="504B6730" w14:textId="77777777" w:rsidTr="00F93D25">
        <w:trPr>
          <w:trHeight w:val="295"/>
          <w:jc w:val="center"/>
        </w:trPr>
        <w:tc>
          <w:tcPr>
            <w:tcW w:w="611" w:type="dxa"/>
            <w:shd w:val="clear" w:color="auto" w:fill="FFFFFF" w:themeFill="background1"/>
            <w:vAlign w:val="center"/>
          </w:tcPr>
          <w:p w14:paraId="441CBF46" w14:textId="77777777" w:rsidR="00051C3C" w:rsidRPr="00AF520C" w:rsidRDefault="00051C3C" w:rsidP="00051C3C">
            <w:pPr>
              <w:shd w:val="clear" w:color="auto" w:fill="FFFFFF"/>
              <w:ind w:right="-28"/>
              <w:jc w:val="center"/>
            </w:pPr>
            <w:r w:rsidRPr="00AF520C">
              <w:t>1</w:t>
            </w:r>
          </w:p>
        </w:tc>
        <w:tc>
          <w:tcPr>
            <w:tcW w:w="3369" w:type="dxa"/>
            <w:vMerge w:val="restart"/>
            <w:shd w:val="clear" w:color="auto" w:fill="FFFFFF" w:themeFill="background1"/>
            <w:vAlign w:val="center"/>
          </w:tcPr>
          <w:p w14:paraId="1DE2AB49" w14:textId="7FF6A4F5" w:rsidR="00051C3C" w:rsidRPr="00AF520C" w:rsidRDefault="00051C3C" w:rsidP="00051C3C">
            <w:r w:rsidRPr="00AF520C">
              <w:rPr>
                <w:b/>
                <w:lang w:val="en-US"/>
              </w:rPr>
              <w:t>HP</w:t>
            </w:r>
            <w:r w:rsidRPr="00AF520C">
              <w:rPr>
                <w:b/>
              </w:rPr>
              <w:t xml:space="preserve"> </w:t>
            </w:r>
            <w:r w:rsidRPr="00AF520C">
              <w:rPr>
                <w:b/>
                <w:lang w:val="en-US"/>
              </w:rPr>
              <w:t>LaserJet</w:t>
            </w:r>
            <w:r w:rsidRPr="00AF520C">
              <w:rPr>
                <w:b/>
              </w:rPr>
              <w:t xml:space="preserve"> </w:t>
            </w:r>
            <w:r w:rsidRPr="00AF520C">
              <w:rPr>
                <w:b/>
                <w:lang w:val="en-US"/>
              </w:rPr>
              <w:t>Pro</w:t>
            </w:r>
            <w:r w:rsidRPr="00AF520C">
              <w:rPr>
                <w:b/>
              </w:rPr>
              <w:t xml:space="preserve"> </w:t>
            </w:r>
            <w:r w:rsidRPr="00AF520C">
              <w:rPr>
                <w:b/>
                <w:lang w:val="en-US"/>
              </w:rPr>
              <w:t>MFP</w:t>
            </w:r>
            <w:r w:rsidRPr="00AF520C">
              <w:rPr>
                <w:b/>
              </w:rPr>
              <w:t xml:space="preserve"> </w:t>
            </w:r>
            <w:r w:rsidRPr="00AF520C">
              <w:rPr>
                <w:b/>
                <w:lang w:val="en-US"/>
              </w:rPr>
              <w:t>M</w:t>
            </w:r>
            <w:r w:rsidRPr="00AF520C">
              <w:rPr>
                <w:b/>
              </w:rPr>
              <w:t>428</w:t>
            </w:r>
            <w:proofErr w:type="spellStart"/>
            <w:r w:rsidRPr="00AF520C">
              <w:rPr>
                <w:b/>
                <w:lang w:val="en-US"/>
              </w:rPr>
              <w:t>dw</w:t>
            </w:r>
            <w:proofErr w:type="spellEnd"/>
          </w:p>
        </w:tc>
        <w:tc>
          <w:tcPr>
            <w:tcW w:w="1539" w:type="dxa"/>
            <w:shd w:val="clear" w:color="auto" w:fill="FFFFFF" w:themeFill="background1"/>
            <w:vAlign w:val="center"/>
          </w:tcPr>
          <w:p w14:paraId="1BD1D49B" w14:textId="03009E62" w:rsidR="00051C3C" w:rsidRPr="00AF520C" w:rsidRDefault="00051C3C" w:rsidP="00051C3C">
            <w:pPr>
              <w:jc w:val="center"/>
            </w:pPr>
            <w:r w:rsidRPr="00AF520C">
              <w:rPr>
                <w:lang w:eastAsia="uk-UA"/>
              </w:rPr>
              <w:t>Заправка  картриджа (CF259X)</w:t>
            </w:r>
          </w:p>
        </w:tc>
        <w:tc>
          <w:tcPr>
            <w:tcW w:w="879" w:type="dxa"/>
            <w:shd w:val="clear" w:color="auto" w:fill="FFFFFF" w:themeFill="background1"/>
            <w:vAlign w:val="center"/>
          </w:tcPr>
          <w:p w14:paraId="5BD603EA" w14:textId="37E60CA7" w:rsidR="00051C3C" w:rsidRPr="00AF520C" w:rsidRDefault="00051C3C" w:rsidP="00051C3C">
            <w:pPr>
              <w:jc w:val="center"/>
            </w:pPr>
            <w:r w:rsidRPr="00AF520C">
              <w:t>31</w:t>
            </w:r>
          </w:p>
        </w:tc>
        <w:tc>
          <w:tcPr>
            <w:tcW w:w="2853" w:type="dxa"/>
            <w:vMerge w:val="restart"/>
          </w:tcPr>
          <w:p w14:paraId="3C611E65" w14:textId="77777777" w:rsidR="00051C3C" w:rsidRPr="00AF520C" w:rsidRDefault="00051C3C" w:rsidP="00051C3C">
            <w:pPr>
              <w:shd w:val="clear" w:color="auto" w:fill="FFFFFF"/>
              <w:ind w:right="-28"/>
              <w:jc w:val="center"/>
            </w:pPr>
            <w:r w:rsidRPr="00AF520C">
              <w:t>Структурний підрозділ</w:t>
            </w:r>
          </w:p>
          <w:p w14:paraId="74D7E23A" w14:textId="043AB950" w:rsidR="00051C3C" w:rsidRPr="00AF520C" w:rsidRDefault="00051C3C" w:rsidP="00051C3C">
            <w:pPr>
              <w:shd w:val="clear" w:color="auto" w:fill="FFFFFF"/>
              <w:ind w:right="-28"/>
              <w:jc w:val="center"/>
            </w:pPr>
            <w:r w:rsidRPr="00AF520C">
              <w:t>Державна митна служба України, відокремлений підрозділ Луганська митниця</w:t>
            </w:r>
          </w:p>
          <w:p w14:paraId="108B4423" w14:textId="24C628E5" w:rsidR="00051C3C" w:rsidRPr="00AF520C" w:rsidRDefault="00051C3C" w:rsidP="00051C3C">
            <w:pPr>
              <w:shd w:val="clear" w:color="auto" w:fill="FFFFFF"/>
              <w:ind w:right="-28"/>
              <w:jc w:val="center"/>
            </w:pPr>
            <w:r w:rsidRPr="00AF520C">
              <w:t xml:space="preserve">вул. Дегтярівська, 11Г, м. Київ, 04119; </w:t>
            </w:r>
          </w:p>
          <w:p w14:paraId="67F22A3D" w14:textId="0FDEFD42" w:rsidR="00051C3C" w:rsidRPr="00AF520C" w:rsidRDefault="00051C3C" w:rsidP="00051C3C">
            <w:pPr>
              <w:shd w:val="clear" w:color="auto" w:fill="FFFFFF"/>
              <w:ind w:right="-28"/>
              <w:jc w:val="center"/>
            </w:pPr>
          </w:p>
        </w:tc>
      </w:tr>
      <w:tr w:rsidR="00AF520C" w:rsidRPr="00AF520C" w14:paraId="593924CB" w14:textId="77777777" w:rsidTr="00F93D25">
        <w:trPr>
          <w:trHeight w:val="295"/>
          <w:jc w:val="center"/>
        </w:trPr>
        <w:tc>
          <w:tcPr>
            <w:tcW w:w="611" w:type="dxa"/>
            <w:shd w:val="clear" w:color="auto" w:fill="FFFFFF" w:themeFill="background1"/>
            <w:vAlign w:val="center"/>
          </w:tcPr>
          <w:p w14:paraId="0D6F9927" w14:textId="0F7EEAAF" w:rsidR="00051C3C" w:rsidRPr="00AF520C" w:rsidRDefault="00051C3C" w:rsidP="00051C3C">
            <w:pPr>
              <w:shd w:val="clear" w:color="auto" w:fill="FFFFFF"/>
              <w:ind w:right="-28"/>
              <w:jc w:val="center"/>
            </w:pPr>
            <w:r w:rsidRPr="00AF520C">
              <w:t>2</w:t>
            </w:r>
          </w:p>
        </w:tc>
        <w:tc>
          <w:tcPr>
            <w:tcW w:w="3369" w:type="dxa"/>
            <w:vMerge/>
            <w:vAlign w:val="center"/>
          </w:tcPr>
          <w:p w14:paraId="0D5337E0" w14:textId="0AC92507" w:rsidR="00051C3C" w:rsidRPr="00AF520C" w:rsidRDefault="00051C3C" w:rsidP="00051C3C"/>
        </w:tc>
        <w:tc>
          <w:tcPr>
            <w:tcW w:w="1539" w:type="dxa"/>
            <w:vAlign w:val="center"/>
          </w:tcPr>
          <w:p w14:paraId="4C934386" w14:textId="49C8CF99" w:rsidR="00051C3C" w:rsidRPr="00AF520C" w:rsidRDefault="00051C3C" w:rsidP="00051C3C">
            <w:pPr>
              <w:jc w:val="center"/>
            </w:pPr>
            <w:r w:rsidRPr="00AF520C">
              <w:rPr>
                <w:lang w:eastAsia="uk-UA"/>
              </w:rPr>
              <w:t>Відновлення  картриджа (CF259X)</w:t>
            </w:r>
          </w:p>
        </w:tc>
        <w:tc>
          <w:tcPr>
            <w:tcW w:w="879" w:type="dxa"/>
            <w:vAlign w:val="center"/>
          </w:tcPr>
          <w:p w14:paraId="48923988" w14:textId="020E2031" w:rsidR="00051C3C" w:rsidRPr="00AF520C" w:rsidRDefault="00051C3C" w:rsidP="00051C3C">
            <w:pPr>
              <w:jc w:val="center"/>
            </w:pPr>
            <w:r w:rsidRPr="00AF520C">
              <w:t>2</w:t>
            </w:r>
          </w:p>
        </w:tc>
        <w:tc>
          <w:tcPr>
            <w:tcW w:w="2853" w:type="dxa"/>
            <w:vMerge/>
          </w:tcPr>
          <w:p w14:paraId="2CB5E5AF" w14:textId="77777777" w:rsidR="00051C3C" w:rsidRPr="00AF520C" w:rsidRDefault="00051C3C" w:rsidP="00051C3C">
            <w:pPr>
              <w:shd w:val="clear" w:color="auto" w:fill="FFFFFF"/>
              <w:ind w:right="-28"/>
            </w:pPr>
          </w:p>
        </w:tc>
      </w:tr>
    </w:tbl>
    <w:p w14:paraId="62A42348" w14:textId="77777777" w:rsidR="009C2CC9" w:rsidRPr="00110FD6" w:rsidRDefault="009C2CC9" w:rsidP="009C2CC9">
      <w:pPr>
        <w:pStyle w:val="15"/>
        <w:tabs>
          <w:tab w:val="center" w:pos="567"/>
          <w:tab w:val="center" w:pos="851"/>
          <w:tab w:val="center" w:pos="1134"/>
          <w:tab w:val="left" w:pos="2977"/>
          <w:tab w:val="left" w:pos="3052"/>
          <w:tab w:val="left" w:pos="3119"/>
          <w:tab w:val="left" w:pos="3402"/>
        </w:tabs>
        <w:jc w:val="center"/>
        <w:rPr>
          <w:b/>
          <w:bCs/>
          <w:color w:val="FF0000"/>
          <w:sz w:val="20"/>
          <w:szCs w:val="20"/>
        </w:rPr>
      </w:pPr>
    </w:p>
    <w:p w14:paraId="599F2B14" w14:textId="0F7AB123" w:rsidR="0044255F" w:rsidRPr="00051C3C" w:rsidRDefault="006438F8" w:rsidP="000E4AC7">
      <w:pPr>
        <w:tabs>
          <w:tab w:val="left" w:pos="180"/>
        </w:tabs>
        <w:jc w:val="both"/>
        <w:rPr>
          <w:b/>
        </w:rPr>
      </w:pPr>
      <w:r w:rsidRPr="00FC30D5">
        <w:rPr>
          <w:b/>
        </w:rPr>
        <w:t xml:space="preserve">       </w:t>
      </w:r>
      <w:r w:rsidR="00A0247F" w:rsidRPr="00FC30D5">
        <w:rPr>
          <w:b/>
        </w:rPr>
        <w:t>5. Обґрунтування розміру бюджетного призначення:</w:t>
      </w:r>
      <w:r w:rsidR="00A0247F" w:rsidRPr="00FC30D5">
        <w:t xml:space="preserve"> розмір бюджетного призначення </w:t>
      </w:r>
      <w:r w:rsidR="0044255F" w:rsidRPr="00FC30D5">
        <w:t>для предмет</w:t>
      </w:r>
      <w:r w:rsidR="00270EDE" w:rsidRPr="00FC30D5">
        <w:t>у</w:t>
      </w:r>
      <w:r w:rsidR="0044255F" w:rsidRPr="00FC30D5">
        <w:t xml:space="preserve"> закупів</w:t>
      </w:r>
      <w:r w:rsidR="007C2BD8" w:rsidRPr="00FC30D5">
        <w:t>л</w:t>
      </w:r>
      <w:r w:rsidR="00270EDE" w:rsidRPr="00FC30D5">
        <w:t>і</w:t>
      </w:r>
      <w:r w:rsidR="0044255F" w:rsidRPr="00FC30D5">
        <w:t xml:space="preserve"> відповідає розрахунку видатків до кошторису </w:t>
      </w:r>
      <w:r w:rsidR="00051C3C" w:rsidRPr="00051C3C">
        <w:t xml:space="preserve">Луганської </w:t>
      </w:r>
      <w:r w:rsidR="00270EDE" w:rsidRPr="00051C3C">
        <w:t xml:space="preserve">митниці </w:t>
      </w:r>
      <w:r w:rsidR="0044255F" w:rsidRPr="00051C3C">
        <w:t>на 202</w:t>
      </w:r>
      <w:r w:rsidR="00FC30D5" w:rsidRPr="00051C3C">
        <w:t>4</w:t>
      </w:r>
      <w:r w:rsidR="0044255F" w:rsidRPr="00051C3C">
        <w:t xml:space="preserve"> рік </w:t>
      </w:r>
      <w:r w:rsidR="00EF4CD6" w:rsidRPr="00051C3C">
        <w:t xml:space="preserve">по </w:t>
      </w:r>
      <w:r w:rsidR="0044255F" w:rsidRPr="00051C3C">
        <w:t>загальн</w:t>
      </w:r>
      <w:r w:rsidR="00EF4CD6" w:rsidRPr="00051C3C">
        <w:t>ому</w:t>
      </w:r>
      <w:r w:rsidR="0044255F" w:rsidRPr="00051C3C">
        <w:t xml:space="preserve"> фонд</w:t>
      </w:r>
      <w:r w:rsidR="00EF4CD6" w:rsidRPr="00051C3C">
        <w:t>у</w:t>
      </w:r>
      <w:r w:rsidR="0044255F" w:rsidRPr="00051C3C">
        <w:t xml:space="preserve"> за КПКВК 3506010 «Керівництво та управління у сфері митної політики»</w:t>
      </w:r>
      <w:r w:rsidR="00853255" w:rsidRPr="00051C3C">
        <w:t xml:space="preserve"> з урахуванням середньої ринкової вартості аналогічних </w:t>
      </w:r>
      <w:r w:rsidR="00726764" w:rsidRPr="00051C3C">
        <w:t>п</w:t>
      </w:r>
      <w:r w:rsidR="00853255" w:rsidRPr="00051C3C">
        <w:t>о</w:t>
      </w:r>
      <w:r w:rsidR="00726764" w:rsidRPr="00051C3C">
        <w:t>слуг</w:t>
      </w:r>
      <w:r w:rsidR="0044255F" w:rsidRPr="00051C3C">
        <w:t>.</w:t>
      </w:r>
    </w:p>
    <w:p w14:paraId="4A447243" w14:textId="77777777" w:rsidR="0044255F" w:rsidRPr="00051C3C" w:rsidRDefault="0044255F" w:rsidP="007919B9">
      <w:pPr>
        <w:ind w:firstLine="567"/>
        <w:contextualSpacing/>
        <w:jc w:val="both"/>
      </w:pPr>
    </w:p>
    <w:p w14:paraId="3EE03F91" w14:textId="3B0FCF41" w:rsidR="007F146A" w:rsidRPr="00051C3C" w:rsidRDefault="00A0247F" w:rsidP="00AB441C">
      <w:pPr>
        <w:ind w:firstLine="426"/>
        <w:contextualSpacing/>
        <w:jc w:val="both"/>
      </w:pPr>
      <w:r w:rsidRPr="00051C3C">
        <w:rPr>
          <w:b/>
        </w:rPr>
        <w:t>6. Очікувана вартість предмета закупівлі:</w:t>
      </w:r>
      <w:r w:rsidR="00500435" w:rsidRPr="00051C3C">
        <w:rPr>
          <w:b/>
        </w:rPr>
        <w:t xml:space="preserve"> </w:t>
      </w:r>
      <w:r w:rsidR="00FC30D5" w:rsidRPr="00051C3C">
        <w:t>9300</w:t>
      </w:r>
      <w:r w:rsidR="00617983" w:rsidRPr="00051C3C">
        <w:t>,</w:t>
      </w:r>
      <w:r w:rsidR="00FC30D5" w:rsidRPr="00051C3C">
        <w:t>00</w:t>
      </w:r>
      <w:r w:rsidR="00DC5925" w:rsidRPr="00051C3C">
        <w:t xml:space="preserve"> </w:t>
      </w:r>
      <w:r w:rsidR="00EF4CD6" w:rsidRPr="00051C3C">
        <w:t>грн. з ПДВ</w:t>
      </w:r>
      <w:r w:rsidR="007B3889" w:rsidRPr="00051C3C">
        <w:t>.</w:t>
      </w:r>
    </w:p>
    <w:p w14:paraId="3BF3859A" w14:textId="77777777" w:rsidR="00057AFB" w:rsidRPr="00051C3C" w:rsidRDefault="00500435" w:rsidP="007919B9">
      <w:pPr>
        <w:ind w:firstLine="567"/>
        <w:contextualSpacing/>
        <w:jc w:val="both"/>
      </w:pPr>
      <w:r w:rsidRPr="00051C3C">
        <w:t xml:space="preserve"> </w:t>
      </w:r>
    </w:p>
    <w:p w14:paraId="08593C51" w14:textId="77777777" w:rsidR="00964E6F" w:rsidRPr="00051C3C" w:rsidRDefault="00A0247F" w:rsidP="00AB441C">
      <w:pPr>
        <w:ind w:firstLine="426"/>
        <w:contextualSpacing/>
        <w:jc w:val="both"/>
      </w:pPr>
      <w:r w:rsidRPr="00051C3C">
        <w:rPr>
          <w:b/>
        </w:rPr>
        <w:t>7. Обґрунтування очікуваної вартості предмета закупівлі:</w:t>
      </w:r>
      <w:r w:rsidRPr="00051C3C">
        <w:t xml:space="preserve"> </w:t>
      </w:r>
    </w:p>
    <w:p w14:paraId="626B9AF5" w14:textId="77777777" w:rsidR="00006754" w:rsidRPr="00051C3C" w:rsidRDefault="00853255" w:rsidP="00C224AA">
      <w:pPr>
        <w:ind w:firstLine="567"/>
        <w:contextualSpacing/>
        <w:jc w:val="both"/>
      </w:pPr>
      <w:r w:rsidRPr="00051C3C">
        <w:t>Н</w:t>
      </w:r>
      <w:r w:rsidR="00006754" w:rsidRPr="00051C3C">
        <w:t>аказом Міністерства розвитку економіки, торгівлі та сільського господарства України від 18.02.2020 №</w:t>
      </w:r>
      <w:r w:rsidRPr="00051C3C">
        <w:t xml:space="preserve"> </w:t>
      </w:r>
      <w:r w:rsidR="00006754" w:rsidRPr="00051C3C">
        <w:t>275 затверджена примірна методика визначення очікуваної вартості предмет</w:t>
      </w:r>
      <w:r w:rsidR="00064CCA" w:rsidRPr="00051C3C">
        <w:t>у</w:t>
      </w:r>
      <w:r w:rsidR="00006754" w:rsidRPr="00051C3C">
        <w:t xml:space="preserve"> закупівлі, якою передбачені методи визначення очікуваної вартості предмет</w:t>
      </w:r>
      <w:r w:rsidR="00064CCA" w:rsidRPr="00051C3C">
        <w:t>у</w:t>
      </w:r>
      <w:r w:rsidR="00006754" w:rsidRPr="00051C3C">
        <w:t xml:space="preserve"> закупівлі.</w:t>
      </w:r>
    </w:p>
    <w:p w14:paraId="77CD26D5" w14:textId="77777777" w:rsidR="00BC7695" w:rsidRPr="00051C3C" w:rsidRDefault="00BF492B" w:rsidP="00AB441C">
      <w:pPr>
        <w:ind w:firstLine="426"/>
        <w:contextualSpacing/>
        <w:jc w:val="both"/>
      </w:pPr>
      <w:r w:rsidRPr="00051C3C">
        <w:rPr>
          <w:b/>
        </w:rPr>
        <w:t>8. Застосування виключення:</w:t>
      </w:r>
      <w:r w:rsidRPr="00051C3C">
        <w:t xml:space="preserve"> не застосовується. Закупівля проводиться із застосуванням відкритих торгів з особливостями.</w:t>
      </w:r>
    </w:p>
    <w:p w14:paraId="04E9993C" w14:textId="77777777" w:rsidR="00A274EA" w:rsidRPr="00051C3C" w:rsidRDefault="00A274EA">
      <w:pPr>
        <w:ind w:firstLine="426"/>
        <w:contextualSpacing/>
        <w:jc w:val="both"/>
      </w:pPr>
    </w:p>
    <w:sectPr w:rsidR="00A274EA" w:rsidRPr="00051C3C" w:rsidSect="009C2CC9">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7FA80" w14:textId="77777777" w:rsidR="00F67110" w:rsidRDefault="00F67110">
      <w:r>
        <w:separator/>
      </w:r>
    </w:p>
  </w:endnote>
  <w:endnote w:type="continuationSeparator" w:id="0">
    <w:p w14:paraId="52AFDFB3" w14:textId="77777777" w:rsidR="00F67110" w:rsidRDefault="00F6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B7F57" w14:textId="77777777" w:rsidR="00F67110" w:rsidRDefault="00F67110">
      <w:r>
        <w:separator/>
      </w:r>
    </w:p>
  </w:footnote>
  <w:footnote w:type="continuationSeparator" w:id="0">
    <w:p w14:paraId="6E500BC6" w14:textId="77777777" w:rsidR="00F67110" w:rsidRDefault="00F671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3"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6"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7"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28"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0"/>
  </w:num>
  <w:num w:numId="5">
    <w:abstractNumId w:val="3"/>
  </w:num>
  <w:num w:numId="6">
    <w:abstractNumId w:val="2"/>
  </w:num>
  <w:num w:numId="7">
    <w:abstractNumId w:val="27"/>
  </w:num>
  <w:num w:numId="8">
    <w:abstractNumId w:val="6"/>
  </w:num>
  <w:num w:numId="9">
    <w:abstractNumId w:val="7"/>
  </w:num>
  <w:num w:numId="10">
    <w:abstractNumId w:val="11"/>
  </w:num>
  <w:num w:numId="11">
    <w:abstractNumId w:val="20"/>
  </w:num>
  <w:num w:numId="12">
    <w:abstractNumId w:val="18"/>
  </w:num>
  <w:num w:numId="13">
    <w:abstractNumId w:val="24"/>
  </w:num>
  <w:num w:numId="14">
    <w:abstractNumId w:val="14"/>
  </w:num>
  <w:num w:numId="15">
    <w:abstractNumId w:val="5"/>
  </w:num>
  <w:num w:numId="16">
    <w:abstractNumId w:val="4"/>
  </w:num>
  <w:num w:numId="17">
    <w:abstractNumId w:val="15"/>
  </w:num>
  <w:num w:numId="18">
    <w:abstractNumId w:val="25"/>
  </w:num>
  <w:num w:numId="19">
    <w:abstractNumId w:val="12"/>
  </w:num>
  <w:num w:numId="20">
    <w:abstractNumId w:val="26"/>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3"/>
  </w:num>
  <w:num w:numId="24">
    <w:abstractNumId w:val="23"/>
  </w:num>
  <w:num w:numId="25">
    <w:abstractNumId w:val="16"/>
  </w:num>
  <w:num w:numId="26">
    <w:abstractNumId w:val="21"/>
  </w:num>
  <w:num w:numId="27">
    <w:abstractNumId w:val="17"/>
  </w:num>
  <w:num w:numId="28">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hideSpellingError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C3C"/>
    <w:rsid w:val="00052E7B"/>
    <w:rsid w:val="0005331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0FD6"/>
    <w:rsid w:val="00113892"/>
    <w:rsid w:val="00115933"/>
    <w:rsid w:val="00117A3A"/>
    <w:rsid w:val="00120C76"/>
    <w:rsid w:val="0012146E"/>
    <w:rsid w:val="0012724F"/>
    <w:rsid w:val="00131374"/>
    <w:rsid w:val="001373E6"/>
    <w:rsid w:val="00140C05"/>
    <w:rsid w:val="00140CA7"/>
    <w:rsid w:val="00141359"/>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5AF0"/>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17EC"/>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A6837"/>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3866"/>
    <w:rsid w:val="005A44F6"/>
    <w:rsid w:val="005A6B49"/>
    <w:rsid w:val="005A6E6E"/>
    <w:rsid w:val="005A78A7"/>
    <w:rsid w:val="005B293B"/>
    <w:rsid w:val="005B587F"/>
    <w:rsid w:val="005B6731"/>
    <w:rsid w:val="005C2F1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738"/>
    <w:rsid w:val="00664B57"/>
    <w:rsid w:val="00664C1A"/>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24F0"/>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1BC5"/>
    <w:rsid w:val="009547C8"/>
    <w:rsid w:val="009561AB"/>
    <w:rsid w:val="00956E71"/>
    <w:rsid w:val="00956FCB"/>
    <w:rsid w:val="00962105"/>
    <w:rsid w:val="0096471B"/>
    <w:rsid w:val="00964E6F"/>
    <w:rsid w:val="0097172E"/>
    <w:rsid w:val="009727B5"/>
    <w:rsid w:val="009730C8"/>
    <w:rsid w:val="00974DCE"/>
    <w:rsid w:val="009829D1"/>
    <w:rsid w:val="00984D41"/>
    <w:rsid w:val="0098521A"/>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520C"/>
    <w:rsid w:val="00AF7DF5"/>
    <w:rsid w:val="00B001D1"/>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6B70"/>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0A82"/>
    <w:rsid w:val="00F41163"/>
    <w:rsid w:val="00F417E4"/>
    <w:rsid w:val="00F44199"/>
    <w:rsid w:val="00F455C9"/>
    <w:rsid w:val="00F52667"/>
    <w:rsid w:val="00F57814"/>
    <w:rsid w:val="00F57D68"/>
    <w:rsid w:val="00F60347"/>
    <w:rsid w:val="00F60D13"/>
    <w:rsid w:val="00F62737"/>
    <w:rsid w:val="00F630FA"/>
    <w:rsid w:val="00F6387D"/>
    <w:rsid w:val="00F67110"/>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0D5"/>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Заголовок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2024-04-11T11:32:00Z</dcterms:created>
  <dcterms:modified xsi:type="dcterms:W3CDTF">2024-04-17T06:48:00Z</dcterms:modified>
</cp:coreProperties>
</file>