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26"/>
        <w:gridCol w:w="6203"/>
      </w:tblGrid>
      <w:tr w:rsidR="000C390F" w:rsidRPr="00F93D7D" w:rsidTr="00296828">
        <w:tc>
          <w:tcPr>
            <w:tcW w:w="9855" w:type="dxa"/>
            <w:gridSpan w:val="3"/>
          </w:tcPr>
          <w:p w:rsidR="000C390F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0C390F" w:rsidRPr="007B2528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0C390F" w:rsidRPr="005402D8" w:rsidRDefault="005402D8" w:rsidP="005402D8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B486D">
              <w:rPr>
                <w:rFonts w:ascii="Times New Roman" w:hAnsi="Times New Roman"/>
                <w:b/>
                <w:bCs/>
                <w:sz w:val="26"/>
                <w:szCs w:val="26"/>
              </w:rPr>
              <w:t>Послуги з ветеринарного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обслуговування службових собак</w:t>
            </w:r>
            <w:r w:rsidR="00E667FB" w:rsidRPr="00E667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ДК 021:2015 код </w:t>
            </w:r>
            <w:r w:rsidRPr="005402D8">
              <w:rPr>
                <w:rFonts w:ascii="Times New Roman" w:hAnsi="Times New Roman"/>
                <w:b/>
                <w:iCs/>
                <w:sz w:val="26"/>
                <w:szCs w:val="26"/>
              </w:rPr>
              <w:t>85210000-3</w:t>
            </w:r>
            <w:r w:rsidRPr="005402D8">
              <w:rPr>
                <w:rFonts w:ascii="Times New Roman" w:hAnsi="Times New Roman"/>
                <w:b/>
                <w:iCs/>
                <w:sz w:val="26"/>
                <w:szCs w:val="26"/>
              </w:rPr>
              <w:sym w:font="Symbol" w:char="F02D"/>
            </w:r>
            <w:r w:rsidRPr="005402D8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розплідники домашніх тварин</w:t>
            </w: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Ветеринарне обслуговування службових собак митниць Держмитслужби  здійснюється в закладі ветеринарної медицини на підставі договору про надання відповідних послуг.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Лікар ветеринарної медицини залучається до участі в заходах з профілактики захворювань службових собак та їх лікування, а саме: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розроблення планів лікувально-профілактичних, протиепізоотичних заходів;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проведення огляду службових собак, у разі виявлення захворювань уживання заходів для лікування;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організація проведення дезінфекції, дезінсекції, дератизації (про результати проведеної роботи робиться запис у відповідному журналі);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проведення планових диспансеризації, дегельмінтизації, щеплення й обробки від ектопаразитів;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прийняття участі у підборі, закупівлі й вибракування собак;</w:t>
            </w:r>
          </w:p>
          <w:p w:rsidR="005402D8" w:rsidRPr="008B486D" w:rsidRDefault="005402D8" w:rsidP="005402D8">
            <w:pPr>
              <w:pStyle w:val="a7"/>
              <w:numPr>
                <w:ilvl w:val="1"/>
                <w:numId w:val="21"/>
              </w:numPr>
              <w:spacing w:after="200" w:line="276" w:lineRule="auto"/>
              <w:ind w:left="1080" w:hanging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організація й проведення інструктажів інспекторів-кінологів з правилами годівлі, утримання собак і надання їм першої ветеринарної допомоги.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Проведення працівниками закладу ветеринарної медицини повного клінічного обстеження за групами, які включають собак різних службових категорій. Дослідження сечі, калу, перевірку годівлі й утримання собак проводиться раз на квартал.  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При проведенні повного клінічного обстеження службового собаки до журналу обліку ветеринарних заходів щодо службового собаки вносять дані про вгодованість, стан шерсті, шкіри, слизових оболонок, зубів, частоту серцевих скорочень і дихання, характер серцевих тонів і дихальних рухів, </w:t>
            </w: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стан нирок, опорно-рухового апарата, очей, вух.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При виникненні </w:t>
            </w:r>
            <w:proofErr w:type="spellStart"/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хвороб</w:t>
            </w:r>
            <w:proofErr w:type="spellEnd"/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викликаних нестачею мікроелементів у нормах, за рекомендацією ветеринарних фахівців до раціону додають ті мікроелементи, яких бракує.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sz w:val="26"/>
                <w:szCs w:val="26"/>
                <w:lang w:eastAsia="ru-RU"/>
              </w:rPr>
              <w:t>Послуги з ветеринарного обслуговування службових собак митниці надаються на основі кошторису митниці на поточний рік.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Доставка службових собак до закладу ветеринарної медицини здійснюється інспектора-кінологами.</w:t>
            </w:r>
          </w:p>
          <w:p w:rsidR="005402D8" w:rsidRPr="008B486D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Інформація, що надається замовником, є конфіденційною. </w:t>
            </w:r>
          </w:p>
          <w:p w:rsidR="000C390F" w:rsidRPr="005402D8" w:rsidRDefault="005402D8" w:rsidP="005402D8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48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Порядок оформлення послуг: замовник оплачує вартість наданих послуг по ветеринарному обслуговуванню службових собак на підставі акту виконаних робіт та встановленого рахунку.</w:t>
            </w:r>
          </w:p>
        </w:tc>
      </w:tr>
      <w:tr w:rsidR="000C390F" w:rsidRPr="008022D2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0C390F" w:rsidRPr="00C85777" w:rsidRDefault="000C390F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5402D8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 w:rsidR="0029682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:rsidR="000C390F" w:rsidRPr="00C85777" w:rsidRDefault="000C390F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>о</w:t>
            </w:r>
            <w:r w:rsidR="005402D8">
              <w:t>го призначення становить 12</w:t>
            </w:r>
            <w:bookmarkStart w:id="0" w:name="_GoBack"/>
            <w:bookmarkEnd w:id="0"/>
            <w:r w:rsidR="00F724B0">
              <w:t>0</w:t>
            </w:r>
            <w:r w:rsidR="00296828">
              <w:t xml:space="preserve"> 000</w:t>
            </w:r>
            <w:r w:rsidRPr="00C85777">
              <w:t>, 00 грн.</w:t>
            </w:r>
          </w:p>
        </w:tc>
      </w:tr>
    </w:tbl>
    <w:p w:rsidR="000C390F" w:rsidRDefault="000C390F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Pr="007B2528" w:rsidRDefault="000C390F" w:rsidP="005212DB">
      <w:pPr>
        <w:pStyle w:val="a3"/>
        <w:spacing w:after="0" w:afterAutospacing="0"/>
        <w:rPr>
          <w:b/>
          <w:sz w:val="20"/>
          <w:szCs w:val="20"/>
        </w:rPr>
      </w:pPr>
    </w:p>
    <w:sectPr w:rsidR="000C390F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330C1B"/>
    <w:multiLevelType w:val="hybridMultilevel"/>
    <w:tmpl w:val="1FC2A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55734"/>
    <w:multiLevelType w:val="hybridMultilevel"/>
    <w:tmpl w:val="E3DC0958"/>
    <w:lvl w:ilvl="0" w:tplc="414C6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7"/>
  </w:num>
  <w:num w:numId="5">
    <w:abstractNumId w:val="2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15"/>
  </w:num>
  <w:num w:numId="11">
    <w:abstractNumId w:val="16"/>
  </w:num>
  <w:num w:numId="12">
    <w:abstractNumId w:val="3"/>
  </w:num>
  <w:num w:numId="13">
    <w:abstractNumId w:val="7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  <w:num w:numId="18">
    <w:abstractNumId w:val="4"/>
  </w:num>
  <w:num w:numId="19">
    <w:abstractNumId w:val="18"/>
  </w:num>
  <w:num w:numId="20">
    <w:abstractNumId w:val="13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96828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212DB"/>
    <w:rsid w:val="005402D8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A39E5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48F0"/>
    <w:rsid w:val="00905F50"/>
    <w:rsid w:val="009060BF"/>
    <w:rsid w:val="0095029B"/>
    <w:rsid w:val="00952742"/>
    <w:rsid w:val="00952A7E"/>
    <w:rsid w:val="00963ADA"/>
    <w:rsid w:val="00966A2F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2312C"/>
    <w:rsid w:val="00C4675C"/>
    <w:rsid w:val="00C513DB"/>
    <w:rsid w:val="00C565B7"/>
    <w:rsid w:val="00C625A9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7F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724B0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,название табл/рис Знак,Список уровня 2 Знак,Bullet Number Знак,Bullet 1 Знак,lp1 Знак,lp11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uiPriority w:val="99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uiPriority w:val="99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,название табл/рис Знак,Список уровня 2 Знак,Bullet Number Знак,Bullet 1 Знак,lp1 Знак,lp11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2</cp:revision>
  <cp:lastPrinted>2023-09-20T08:48:00Z</cp:lastPrinted>
  <dcterms:created xsi:type="dcterms:W3CDTF">2024-04-23T05:40:00Z</dcterms:created>
  <dcterms:modified xsi:type="dcterms:W3CDTF">2024-04-23T05:40:00Z</dcterms:modified>
</cp:coreProperties>
</file>