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DC7F85">
        <w:rPr>
          <w:b/>
          <w:bCs/>
          <w:sz w:val="24"/>
          <w:szCs w:val="24"/>
        </w:rPr>
        <w:t>:</w:t>
      </w:r>
      <w:r w:rsidRPr="00DC7F85">
        <w:rPr>
          <w:sz w:val="24"/>
          <w:szCs w:val="24"/>
        </w:rPr>
        <w:t xml:space="preserve"> </w:t>
      </w:r>
      <w:r w:rsidRPr="00DC7F85">
        <w:rPr>
          <w:sz w:val="24"/>
          <w:szCs w:val="24"/>
          <w:u w:val="single"/>
          <w:lang w:val="en-US"/>
        </w:rPr>
        <w:t>UA</w:t>
      </w:r>
      <w:r w:rsidRPr="00DC7F85">
        <w:rPr>
          <w:sz w:val="24"/>
          <w:szCs w:val="24"/>
          <w:u w:val="single"/>
          <w:lang w:val="ru-RU"/>
        </w:rPr>
        <w:t>-2024-</w:t>
      </w:r>
      <w:r w:rsidR="009B6ECD" w:rsidRPr="00DC7F85">
        <w:rPr>
          <w:sz w:val="24"/>
          <w:szCs w:val="24"/>
          <w:u w:val="single"/>
          <w:lang w:val="ru-RU"/>
        </w:rPr>
        <w:t>05</w:t>
      </w:r>
      <w:r w:rsidRPr="00DC7F85">
        <w:rPr>
          <w:sz w:val="24"/>
          <w:szCs w:val="24"/>
          <w:u w:val="single"/>
          <w:lang w:val="ru-RU"/>
        </w:rPr>
        <w:t>-</w:t>
      </w:r>
      <w:r w:rsidR="00DC7F85" w:rsidRPr="00DC7F85">
        <w:rPr>
          <w:sz w:val="24"/>
          <w:szCs w:val="24"/>
          <w:u w:val="single"/>
          <w:lang w:val="en-US"/>
        </w:rPr>
        <w:t>22</w:t>
      </w:r>
      <w:r w:rsidRPr="00DC7F85">
        <w:rPr>
          <w:sz w:val="24"/>
          <w:szCs w:val="24"/>
          <w:u w:val="single"/>
          <w:lang w:val="ru-RU"/>
        </w:rPr>
        <w:t>-</w:t>
      </w:r>
      <w:r w:rsidR="009B6ECD" w:rsidRPr="00DC7F85">
        <w:rPr>
          <w:sz w:val="24"/>
          <w:szCs w:val="24"/>
          <w:u w:val="single"/>
          <w:lang w:val="ru-RU"/>
        </w:rPr>
        <w:t>00</w:t>
      </w:r>
      <w:r w:rsidR="00DC7F85" w:rsidRPr="00DC7F85">
        <w:rPr>
          <w:sz w:val="24"/>
          <w:szCs w:val="24"/>
          <w:u w:val="single"/>
          <w:lang w:val="en-US"/>
        </w:rPr>
        <w:t>4237</w:t>
      </w:r>
      <w:r w:rsidRPr="00DC7F85">
        <w:rPr>
          <w:sz w:val="24"/>
          <w:szCs w:val="24"/>
          <w:u w:val="single"/>
          <w:lang w:val="ru-RU"/>
        </w:rPr>
        <w:t>-</w:t>
      </w:r>
      <w:r w:rsidRPr="00DC7F85">
        <w:rPr>
          <w:sz w:val="24"/>
          <w:szCs w:val="24"/>
          <w:u w:val="single"/>
          <w:lang w:val="en-US"/>
        </w:rPr>
        <w:t>a</w:t>
      </w:r>
      <w:r w:rsidRPr="00DC7F85">
        <w:rPr>
          <w:sz w:val="24"/>
          <w:szCs w:val="24"/>
          <w:u w:val="single"/>
        </w:rPr>
        <w:t xml:space="preserve"> </w:t>
      </w:r>
      <w:r w:rsidRPr="00DC7F85">
        <w:rPr>
          <w:sz w:val="24"/>
          <w:szCs w:val="24"/>
        </w:rPr>
        <w:t>.</w:t>
      </w:r>
      <w:bookmarkStart w:id="0" w:name="_GoBack"/>
      <w:bookmarkEnd w:id="0"/>
    </w:p>
    <w:p w:rsidR="0003718E" w:rsidRDefault="0003718E" w:rsidP="0003718E"/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3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AD74DC" w:rsidRPr="00AD74DC" w:rsidRDefault="00AD74DC" w:rsidP="00AD74DC">
      <w:pPr>
        <w:pStyle w:val="a6"/>
        <w:keepNext/>
        <w:tabs>
          <w:tab w:val="clear" w:pos="1134"/>
        </w:tabs>
        <w:spacing w:before="0"/>
        <w:rPr>
          <w:rFonts w:ascii="Times New Roman" w:hAnsi="Times New Roman" w:cs="Times New Roman"/>
          <w:b/>
        </w:rPr>
      </w:pPr>
      <w:r w:rsidRPr="00AD74DC">
        <w:rPr>
          <w:rFonts w:ascii="Times New Roman" w:hAnsi="Times New Roman" w:cs="Times New Roman"/>
        </w:rPr>
        <w:t>Послуги зі створення комплексних систем захисту інформації в системах, що забезпечують функціонування електронних інформаційних ресурсів митних органів за кодом ДК 021:2015: 72220000-3 (Консультаційні послуги з питань систем та з технічних питань).</w:t>
      </w:r>
    </w:p>
    <w:p w:rsidR="009B6ECD" w:rsidRPr="009B6ECD" w:rsidRDefault="009B6ECD" w:rsidP="009B6ECD">
      <w:pPr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ind w:firstLine="426"/>
        <w:jc w:val="both"/>
        <w:rPr>
          <w:sz w:val="24"/>
          <w:szCs w:val="24"/>
        </w:rPr>
      </w:pPr>
    </w:p>
    <w:p w:rsidR="0003718E" w:rsidRPr="00862D15" w:rsidRDefault="0003718E" w:rsidP="0003718E">
      <w:pPr>
        <w:ind w:firstLine="426"/>
        <w:jc w:val="both"/>
        <w:rPr>
          <w:sz w:val="24"/>
          <w:szCs w:val="24"/>
        </w:rPr>
      </w:pPr>
    </w:p>
    <w:p w:rsidR="00AD74DC" w:rsidRPr="00F77E04" w:rsidRDefault="00761B57" w:rsidP="00761B57">
      <w:pPr>
        <w:pStyle w:val="2"/>
        <w:tabs>
          <w:tab w:val="clear" w:pos="5104"/>
        </w:tabs>
        <w:ind w:left="0" w:firstLine="426"/>
        <w:rPr>
          <w:b/>
        </w:rPr>
      </w:pPr>
      <w:r>
        <w:rPr>
          <w:b/>
          <w:lang w:val="uk-UA"/>
        </w:rPr>
        <w:t>2.1.</w:t>
      </w:r>
      <w:r w:rsidR="00AD74DC" w:rsidRPr="00AD64CA">
        <w:rPr>
          <w:b/>
          <w:lang w:val="uk-UA"/>
        </w:rPr>
        <w:t xml:space="preserve">Обґрунтування доцільності закупівлі. </w:t>
      </w:r>
      <w:r w:rsidR="00AD74DC" w:rsidRPr="00F77E04">
        <w:t xml:space="preserve">Митна справа здійснюється з використанням інформаційних технологій, що забезпечують функціонування електронних інформаційних ресурсів митних органів і засобів їх забезпечення, що функціонують на національному або міжнародному рівнях. Електронні інформаційні ресурси митних органів – систематизована інформація, що включає дані в електронному вигляді, право на володіння, використання або розпорядження яких належать митним органам відповідно до закону та які створені, отримані (у тому числі з відомостей, що містяться у документах, які надаються під час здійснення митного контролю та митного оформлення товарів, транспортних засобів, а також інших документів, у тому числі отриманих відповідно до міжнародних договорів України), обліковані, оброблені та зберігаються на матеріальних носіях та/або відображені за допомогою інформаційних технологій. Інформація щодо підприємств, громадян, а також товарів, транспортних засобів комерційного призначення, що переміщуються ними через митний кордон України, що збирається, використовується та формується митними органами, вноситься до інформаційних баз даних і використовується з урахуванням обмежень, передбачених для інформації з обмеженим доступом. Персональні дані осіб, відомості про яких отримані митними органами, здійснюється без згоди таких осіб. Відповідно до Положення про Єдину автоматизовану інформаційну систему митних органів, порядок і умови застосування її систем, затвердженого наказом Міністерства фінансів України від 19.05.2023 № 263 «Про затвердження Положення про Єдину автоматизовану інформаційну систему митних органів, порядок і умови </w:t>
      </w:r>
      <w:r w:rsidR="00AD74DC" w:rsidRPr="00F77E04">
        <w:lastRenderedPageBreak/>
        <w:t xml:space="preserve">застосування її систем», зареєстрованого в Міністерстві юстиції </w:t>
      </w:r>
      <w:r w:rsidR="00AD74DC">
        <w:br/>
      </w:r>
      <w:r w:rsidR="00AD74DC" w:rsidRPr="00F77E04">
        <w:t>України 03.07.2023 за № 1132/40188, для забезпечення виконання митних формальностей, автоматизації процедур митного контролю, обміну інформацією та електронної взаємодії використовується Єдина автоматизована інформаційна</w:t>
      </w:r>
      <w:r w:rsidR="00AD74DC">
        <w:rPr>
          <w:lang w:val="uk-UA"/>
        </w:rPr>
        <w:t xml:space="preserve"> </w:t>
      </w:r>
      <w:r w:rsidR="00AD74DC" w:rsidRPr="00F77E04">
        <w:t>система митних органів (далі – ЄАІС). Держателем, адміністратором та володільцем інформації в ЄАІС є Держмитслужба.</w:t>
      </w:r>
    </w:p>
    <w:p w:rsidR="00AD74DC" w:rsidRPr="00F77E04" w:rsidRDefault="00AD74DC" w:rsidP="00AD74DC">
      <w:pPr>
        <w:jc w:val="both"/>
        <w:rPr>
          <w:szCs w:val="28"/>
        </w:rPr>
      </w:pPr>
      <w:r w:rsidRPr="00F77E04">
        <w:rPr>
          <w:szCs w:val="28"/>
        </w:rPr>
        <w:t>ЄАІС складається з функціональних систем, а саме:</w:t>
      </w:r>
    </w:p>
    <w:p w:rsidR="00AD74DC" w:rsidRPr="00F77E04" w:rsidRDefault="00AD74DC" w:rsidP="00AD74DC">
      <w:pPr>
        <w:jc w:val="both"/>
        <w:rPr>
          <w:szCs w:val="28"/>
        </w:rPr>
      </w:pPr>
      <w:r w:rsidRPr="00F77E04">
        <w:rPr>
          <w:szCs w:val="28"/>
        </w:rPr>
        <w:t>- Автоматизована система митного оформлення «Центр»;</w:t>
      </w:r>
    </w:p>
    <w:p w:rsidR="00AD74DC" w:rsidRPr="00F77E04" w:rsidRDefault="00AD74DC" w:rsidP="00AD74DC">
      <w:pPr>
        <w:jc w:val="both"/>
        <w:rPr>
          <w:szCs w:val="28"/>
        </w:rPr>
      </w:pPr>
      <w:r w:rsidRPr="00F77E04">
        <w:rPr>
          <w:szCs w:val="28"/>
        </w:rPr>
        <w:t xml:space="preserve">- Єдиний державний інформаційний </w:t>
      </w:r>
      <w:proofErr w:type="spellStart"/>
      <w:r w:rsidRPr="00F77E04">
        <w:rPr>
          <w:szCs w:val="28"/>
        </w:rPr>
        <w:t>вебпортал</w:t>
      </w:r>
      <w:proofErr w:type="spellEnd"/>
      <w:r w:rsidRPr="00F77E04">
        <w:rPr>
          <w:szCs w:val="28"/>
        </w:rPr>
        <w:t xml:space="preserve"> «Єдине вікно для міжнародної торгівлі»;</w:t>
      </w:r>
    </w:p>
    <w:p w:rsidR="00AD74DC" w:rsidRPr="00F77E04" w:rsidRDefault="00AD74DC" w:rsidP="00AD74DC">
      <w:pPr>
        <w:jc w:val="both"/>
        <w:rPr>
          <w:szCs w:val="28"/>
        </w:rPr>
      </w:pPr>
      <w:r w:rsidRPr="00F77E04">
        <w:rPr>
          <w:szCs w:val="28"/>
        </w:rPr>
        <w:t>- Електронна транзитна система, що функціонує на національному рівні.</w:t>
      </w:r>
    </w:p>
    <w:p w:rsidR="00AD74DC" w:rsidRPr="00F77E04" w:rsidRDefault="00AD74DC" w:rsidP="00AD74DC">
      <w:pPr>
        <w:jc w:val="both"/>
        <w:rPr>
          <w:szCs w:val="28"/>
        </w:rPr>
      </w:pPr>
      <w:r w:rsidRPr="00F77E04">
        <w:rPr>
          <w:szCs w:val="28"/>
        </w:rPr>
        <w:t>До засобів забезпечення функціонування ЄАІС належать:</w:t>
      </w:r>
    </w:p>
    <w:p w:rsidR="00AD74DC" w:rsidRPr="00F77E04" w:rsidRDefault="00AD74DC" w:rsidP="00AD74DC">
      <w:pPr>
        <w:jc w:val="both"/>
        <w:rPr>
          <w:szCs w:val="28"/>
        </w:rPr>
      </w:pPr>
      <w:r w:rsidRPr="00F77E04">
        <w:rPr>
          <w:szCs w:val="28"/>
        </w:rPr>
        <w:t>- центри обробки даних та серверні приміщення;</w:t>
      </w:r>
    </w:p>
    <w:p w:rsidR="00AD74DC" w:rsidRPr="00F77E04" w:rsidRDefault="00AD74DC" w:rsidP="00AD74DC">
      <w:pPr>
        <w:jc w:val="both"/>
        <w:rPr>
          <w:szCs w:val="28"/>
        </w:rPr>
      </w:pPr>
      <w:r w:rsidRPr="00F77E04">
        <w:rPr>
          <w:szCs w:val="28"/>
        </w:rPr>
        <w:t>- центральне сховище даних, сервери додатків, технологічні сервіси (комплекси) та автоматизовані робочі місця користувачів ЄАІС;</w:t>
      </w:r>
    </w:p>
    <w:p w:rsidR="00AD74DC" w:rsidRPr="00F77E04" w:rsidRDefault="00AD74DC" w:rsidP="00AD74DC">
      <w:pPr>
        <w:jc w:val="both"/>
        <w:rPr>
          <w:szCs w:val="28"/>
        </w:rPr>
      </w:pPr>
      <w:r w:rsidRPr="00F77E04">
        <w:rPr>
          <w:szCs w:val="28"/>
        </w:rPr>
        <w:t>- відомча електронна комунікаційна мережа Держмитслужби і локальні обчислювальні мережі апарату Держмитслужби та її територіальних органів;</w:t>
      </w:r>
    </w:p>
    <w:p w:rsidR="00AD74DC" w:rsidRPr="00F77E04" w:rsidRDefault="00AD74DC" w:rsidP="00AD74DC">
      <w:pPr>
        <w:jc w:val="both"/>
        <w:rPr>
          <w:szCs w:val="28"/>
        </w:rPr>
      </w:pPr>
      <w:r w:rsidRPr="00F77E04">
        <w:rPr>
          <w:szCs w:val="28"/>
        </w:rPr>
        <w:t>- програмно-технічний комплекс Держмитслужби «Електронна пошта».</w:t>
      </w:r>
    </w:p>
    <w:p w:rsidR="00AD74DC" w:rsidRDefault="00AD74DC" w:rsidP="00AD74DC">
      <w:pPr>
        <w:ind w:firstLine="708"/>
        <w:jc w:val="both"/>
        <w:rPr>
          <w:szCs w:val="28"/>
        </w:rPr>
      </w:pPr>
      <w:r>
        <w:rPr>
          <w:szCs w:val="28"/>
        </w:rPr>
        <w:t xml:space="preserve">Відповідно до потреби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розбито на три етапи для кожної складової частини ВКС згідно із пунктом 7 Додатком 2 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Договору.</w:t>
      </w:r>
    </w:p>
    <w:p w:rsidR="00AD74DC" w:rsidRPr="00F77E04" w:rsidRDefault="00AD74DC" w:rsidP="00AD74DC">
      <w:pPr>
        <w:rPr>
          <w:szCs w:val="28"/>
        </w:rPr>
      </w:pPr>
    </w:p>
    <w:tbl>
      <w:tblPr>
        <w:tblW w:w="5074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64"/>
        <w:gridCol w:w="4707"/>
        <w:gridCol w:w="1476"/>
        <w:gridCol w:w="2704"/>
      </w:tblGrid>
      <w:tr w:rsidR="00AD74DC" w:rsidRPr="002C2CC5" w:rsidTr="00D01388"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AD74DC" w:rsidRPr="002C2CC5" w:rsidRDefault="00AD74DC" w:rsidP="00D01388">
            <w:pPr>
              <w:jc w:val="center"/>
            </w:pPr>
            <w:r w:rsidRPr="005E52AE">
              <w:rPr>
                <w:b/>
              </w:rPr>
              <w:t>Етап</w:t>
            </w:r>
          </w:p>
        </w:tc>
        <w:tc>
          <w:tcPr>
            <w:tcW w:w="24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AD74DC" w:rsidRPr="002C2CC5" w:rsidRDefault="00AD74DC" w:rsidP="00D01388">
            <w:r w:rsidRPr="005E52AE">
              <w:rPr>
                <w:b/>
              </w:rPr>
              <w:t>Найменування етапу/перелік робіт, які будуть</w:t>
            </w:r>
            <w:r>
              <w:rPr>
                <w:b/>
              </w:rPr>
              <w:t xml:space="preserve"> </w:t>
            </w:r>
            <w:r w:rsidRPr="005E52AE">
              <w:rPr>
                <w:b/>
              </w:rPr>
              <w:t>виконуватися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AD74DC" w:rsidRPr="002C2CC5" w:rsidRDefault="00AD74DC" w:rsidP="00D01388">
            <w:pPr>
              <w:jc w:val="center"/>
            </w:pPr>
            <w:r w:rsidRPr="005E52AE">
              <w:rPr>
                <w:b/>
              </w:rPr>
              <w:t>Терміни</w:t>
            </w:r>
          </w:p>
        </w:tc>
        <w:tc>
          <w:tcPr>
            <w:tcW w:w="1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AD74DC" w:rsidRPr="002C2CC5" w:rsidRDefault="00AD74DC" w:rsidP="00D01388">
            <w:pPr>
              <w:jc w:val="center"/>
            </w:pPr>
            <w:r w:rsidRPr="005E52AE">
              <w:rPr>
                <w:b/>
              </w:rPr>
              <w:t>Результат виконання</w:t>
            </w:r>
          </w:p>
        </w:tc>
      </w:tr>
      <w:tr w:rsidR="00AD74DC" w:rsidRPr="00B25D95" w:rsidTr="00D01388"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74DC" w:rsidRPr="00150AD1" w:rsidRDefault="00AD74DC" w:rsidP="00AD74DC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526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74DC" w:rsidRPr="00B25D95" w:rsidRDefault="00AD74DC" w:rsidP="00D01388">
            <w:pPr>
              <w:jc w:val="center"/>
              <w:rPr>
                <w:b/>
              </w:rPr>
            </w:pPr>
            <w:r w:rsidRPr="00B25D95">
              <w:rPr>
                <w:b/>
              </w:rPr>
              <w:t>Формування загальних вимог до КСЗІ в ІКС, розробка політики безпеки інформації в ІКС і технічного завдання на створення КСЗІ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306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>
              <w:t xml:space="preserve">Розробка переліку інформації, що підлягає автоматизованому обробленню </w:t>
            </w:r>
            <w:r w:rsidRPr="007244A8">
              <w:t>та потребує захисту, інформаційних потоків, кваліфікація інформації за режимом доступу, визначення, опис видів інформації та її представлення в ІКС</w:t>
            </w:r>
            <w:r>
              <w:t xml:space="preserve"> 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>
              <w:t>Перелік об’єктів захисту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306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>
              <w:t>Обстеження середовищ</w:t>
            </w:r>
            <w:r w:rsidRPr="002C2CC5">
              <w:t xml:space="preserve"> </w:t>
            </w:r>
            <w:r w:rsidRPr="007244A8">
              <w:t>функціонування</w:t>
            </w:r>
            <w:r w:rsidRPr="002C2CC5">
              <w:t xml:space="preserve"> ІКС</w:t>
            </w:r>
            <w:r>
              <w:t xml:space="preserve"> 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t>Акт обстеження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306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2C2CC5">
              <w:t>Розробка Моделі загроз для інформації та Моделі</w:t>
            </w:r>
            <w:r>
              <w:t xml:space="preserve"> </w:t>
            </w:r>
            <w:r w:rsidRPr="002C2CC5">
              <w:t>порушника безпеки інформації в ІКС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t>Модель загроз та порушника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306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2C2CC5">
              <w:t>Розробка плану захисту інформації та політики</w:t>
            </w:r>
            <w:r>
              <w:t xml:space="preserve"> </w:t>
            </w:r>
            <w:r w:rsidRPr="002C2CC5">
              <w:t>безпеки інформації в ІКС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t>План захисту інформації та політика безпеки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306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7244A8">
              <w:t>Розробка</w:t>
            </w:r>
            <w:r>
              <w:t>, д</w:t>
            </w:r>
            <w:r w:rsidRPr="002C2CC5">
              <w:t>оопрацювання</w:t>
            </w:r>
            <w:r>
              <w:t>, надання для погодження та затвердження технічних завдань</w:t>
            </w:r>
            <w:r w:rsidRPr="002C2CC5">
              <w:t xml:space="preserve"> на створення КСЗІ</w:t>
            </w:r>
            <w:r>
              <w:t xml:space="preserve"> </w:t>
            </w:r>
            <w:r w:rsidRPr="007244A8">
              <w:lastRenderedPageBreak/>
              <w:t xml:space="preserve">та </w:t>
            </w:r>
            <w:r>
              <w:t xml:space="preserve">їх </w:t>
            </w:r>
            <w:r w:rsidRPr="007244A8">
              <w:t xml:space="preserve">погодження в Адміністрації </w:t>
            </w:r>
            <w:proofErr w:type="spellStart"/>
            <w:r w:rsidRPr="007244A8">
              <w:t>Держспецзв’язку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>
              <w:t>Технічні</w:t>
            </w:r>
            <w:r w:rsidRPr="002C2CC5">
              <w:t xml:space="preserve"> завдання КСЗІ в ІКС</w:t>
            </w:r>
          </w:p>
        </w:tc>
      </w:tr>
      <w:tr w:rsidR="00AD74DC" w:rsidRPr="00B25D95" w:rsidTr="00D01388">
        <w:trPr>
          <w:trHeight w:val="359"/>
        </w:trPr>
        <w:tc>
          <w:tcPr>
            <w:tcW w:w="3582" w:type="pct"/>
            <w:gridSpan w:val="3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>
              <w:t>За етапом 1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B25D95" w:rsidRDefault="00AD74DC" w:rsidP="00D01388">
            <w:pPr>
              <w:jc w:val="center"/>
              <w:rPr>
                <w:b/>
              </w:rPr>
            </w:pPr>
            <w:r w:rsidRPr="00B25D95">
              <w:rPr>
                <w:b/>
              </w:rPr>
              <w:t>Акт приймання-передачі</w:t>
            </w:r>
            <w:r>
              <w:rPr>
                <w:b/>
              </w:rPr>
              <w:t xml:space="preserve"> послуг</w:t>
            </w:r>
          </w:p>
        </w:tc>
      </w:tr>
      <w:tr w:rsidR="00AD74DC" w:rsidRPr="00B25D95" w:rsidTr="00D01388">
        <w:tc>
          <w:tcPr>
            <w:tcW w:w="474" w:type="pct"/>
            <w:shd w:val="clear" w:color="auto" w:fill="auto"/>
            <w:vAlign w:val="center"/>
          </w:tcPr>
          <w:p w:rsidR="00AD74DC" w:rsidRPr="00B25D95" w:rsidRDefault="00AD74DC" w:rsidP="00AD74DC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526" w:type="pct"/>
            <w:gridSpan w:val="3"/>
            <w:shd w:val="clear" w:color="auto" w:fill="auto"/>
            <w:vAlign w:val="center"/>
          </w:tcPr>
          <w:p w:rsidR="00AD74DC" w:rsidRPr="00B25D95" w:rsidRDefault="00AD74DC" w:rsidP="00D01388">
            <w:pPr>
              <w:jc w:val="center"/>
              <w:rPr>
                <w:b/>
              </w:rPr>
            </w:pPr>
            <w:r w:rsidRPr="00B25D95">
              <w:rPr>
                <w:b/>
              </w:rPr>
              <w:t>Розробка проекту КСЗІ, введення КСЗІ в дію</w:t>
            </w:r>
          </w:p>
          <w:p w:rsidR="00AD74DC" w:rsidRPr="00B25D95" w:rsidRDefault="00AD74DC" w:rsidP="00D01388">
            <w:pPr>
              <w:jc w:val="center"/>
              <w:rPr>
                <w:b/>
              </w:rPr>
            </w:pPr>
            <w:r w:rsidRPr="00B25D95">
              <w:rPr>
                <w:b/>
              </w:rPr>
              <w:t>та оцінка захищеності інформації в ІКС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>
              <w:t>Розробка т</w:t>
            </w:r>
            <w:r w:rsidRPr="002C2CC5">
              <w:t>ехнічного проекту КСЗІ в ІКС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>
              <w:t>Т</w:t>
            </w:r>
            <w:r w:rsidRPr="002C2CC5">
              <w:t>ехнічн</w:t>
            </w:r>
            <w:r>
              <w:t>ий п</w:t>
            </w:r>
            <w:r w:rsidRPr="002C2CC5">
              <w:t>роект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2C2CC5">
              <w:t xml:space="preserve">Розробка </w:t>
            </w:r>
            <w:r>
              <w:t>р</w:t>
            </w:r>
            <w:r w:rsidRPr="002C2CC5">
              <w:t>обочої документації КСЗІ в ІКС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>
              <w:t>Робоча документація</w:t>
            </w:r>
          </w:p>
        </w:tc>
      </w:tr>
      <w:tr w:rsidR="00AD74DC" w:rsidRPr="00271C7B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71C7B" w:rsidRDefault="00AD74DC" w:rsidP="00D01388">
            <w:r w:rsidRPr="00271C7B">
              <w:t xml:space="preserve">Підготовка </w:t>
            </w:r>
            <w:proofErr w:type="spellStart"/>
            <w:r w:rsidRPr="00271C7B">
              <w:t>проєкту</w:t>
            </w:r>
            <w:proofErr w:type="spellEnd"/>
            <w:r w:rsidRPr="00271C7B">
              <w:t xml:space="preserve"> наказу про створення комісії для проведення попередніх випробувань та дослідної експлуатації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71C7B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71C7B" w:rsidRDefault="00AD74DC" w:rsidP="00D01388">
            <w:pPr>
              <w:jc w:val="center"/>
            </w:pPr>
            <w:r w:rsidRPr="00271C7B">
              <w:t>Наказ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2C2CC5">
              <w:t>Розробка Програми та Методики проведення</w:t>
            </w:r>
            <w:r>
              <w:t xml:space="preserve"> </w:t>
            </w:r>
            <w:r w:rsidRPr="002C2CC5">
              <w:t>попередніх випробувань КСЗІ в ІКС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t>Програма та методика</w:t>
            </w:r>
          </w:p>
          <w:p w:rsidR="00AD74DC" w:rsidRPr="002C2CC5" w:rsidRDefault="00AD74DC" w:rsidP="00D01388">
            <w:pPr>
              <w:jc w:val="center"/>
            </w:pPr>
            <w:r w:rsidRPr="002C2CC5">
              <w:t>проведення попередніх</w:t>
            </w:r>
          </w:p>
          <w:p w:rsidR="00AD74DC" w:rsidRPr="002C2CC5" w:rsidRDefault="00AD74DC" w:rsidP="00D01388">
            <w:pPr>
              <w:jc w:val="center"/>
            </w:pPr>
            <w:r>
              <w:t>випробувань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2C2CC5">
              <w:t>Забезпечення Замовником виконання</w:t>
            </w:r>
          </w:p>
          <w:p w:rsidR="00AD74DC" w:rsidRPr="002C2CC5" w:rsidRDefault="00AD74DC" w:rsidP="00D01388">
            <w:r w:rsidRPr="002C2CC5">
              <w:t xml:space="preserve">організаційних та технічних рішень </w:t>
            </w:r>
            <w:r>
              <w:t>т</w:t>
            </w:r>
            <w:r w:rsidRPr="002C2CC5">
              <w:t>ехнічного</w:t>
            </w:r>
            <w:r>
              <w:t xml:space="preserve"> </w:t>
            </w:r>
            <w:r w:rsidRPr="002C2CC5">
              <w:t>проекту та робочої документації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t>Налаштування КСЗІ</w:t>
            </w:r>
            <w:r>
              <w:t>,</w:t>
            </w:r>
          </w:p>
          <w:p w:rsidR="00AD74DC" w:rsidRPr="002C2CC5" w:rsidRDefault="00AD74DC" w:rsidP="00D01388">
            <w:pPr>
              <w:jc w:val="center"/>
            </w:pPr>
            <w:r w:rsidRPr="002C2CC5">
              <w:t>Лист Замовника Виконавцю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2C2CC5">
              <w:t>Проведення попередніх випробувань КСЗІ в ІКС та розробка протоколу попередніх випробувань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t>Протокол проведення попередніх</w:t>
            </w:r>
            <w:r>
              <w:t xml:space="preserve"> </w:t>
            </w:r>
            <w:r w:rsidRPr="002C2CC5">
              <w:t>випробувань КСЗІ в ІКС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C6656E">
              <w:t xml:space="preserve">Складання </w:t>
            </w:r>
            <w:proofErr w:type="spellStart"/>
            <w:r w:rsidRPr="00C6656E">
              <w:t>акт</w:t>
            </w:r>
            <w:r>
              <w:t>а</w:t>
            </w:r>
            <w:proofErr w:type="spellEnd"/>
            <w:r w:rsidRPr="00C6656E">
              <w:t xml:space="preserve"> попередніх випробувань з висновком про можливість проведення дослідно</w:t>
            </w:r>
            <w:r>
              <w:t>ї</w:t>
            </w:r>
            <w:r w:rsidRPr="00C6656E">
              <w:t xml:space="preserve"> експлуатації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>
              <w:t>Акт попередніх випробувань</w:t>
            </w:r>
          </w:p>
        </w:tc>
      </w:tr>
      <w:tr w:rsidR="00AD74DC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491585" w:rsidRDefault="00AD74DC" w:rsidP="00D01388">
            <w:r w:rsidRPr="00491585">
              <w:t>Розробка Формуляру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Default="00AD74DC" w:rsidP="00D01388">
            <w:pPr>
              <w:jc w:val="center"/>
            </w:pPr>
            <w:r>
              <w:t xml:space="preserve">Формуляр 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491585" w:rsidRDefault="00AD74DC" w:rsidP="00D01388">
            <w:r w:rsidRPr="00491585">
              <w:t xml:space="preserve">Проведення дослідної експлуатації та складання </w:t>
            </w:r>
            <w:proofErr w:type="spellStart"/>
            <w:r w:rsidRPr="00491585">
              <w:t>акт</w:t>
            </w:r>
            <w:r>
              <w:t>а</w:t>
            </w:r>
            <w:proofErr w:type="spellEnd"/>
            <w:r w:rsidRPr="00491585">
              <w:t xml:space="preserve"> про завершення дослідної експлуатації який містить висновок щодо можливості представлення КСЗІ на державну експертизу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>
              <w:t xml:space="preserve">Акт завершення дослідної експлуатації </w:t>
            </w:r>
            <w:r w:rsidRPr="002C2CC5">
              <w:t>КСЗІ в ІКС</w:t>
            </w:r>
            <w:r>
              <w:t>, акт завершення робіт зі створення КСЗІ в ІКС</w:t>
            </w:r>
          </w:p>
        </w:tc>
      </w:tr>
      <w:tr w:rsidR="00AD74DC" w:rsidRPr="002C2CC5" w:rsidTr="00D01388">
        <w:tc>
          <w:tcPr>
            <w:tcW w:w="3582" w:type="pct"/>
            <w:gridSpan w:val="3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>
              <w:t>За етапом 2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 w:rsidRPr="00B25D95">
              <w:rPr>
                <w:b/>
              </w:rPr>
              <w:t>Акт приймання-передачі</w:t>
            </w:r>
            <w:r>
              <w:rPr>
                <w:b/>
              </w:rPr>
              <w:t xml:space="preserve"> послуг</w:t>
            </w:r>
          </w:p>
        </w:tc>
      </w:tr>
      <w:tr w:rsidR="00AD74DC" w:rsidRPr="001D4370" w:rsidTr="00D01388">
        <w:trPr>
          <w:trHeight w:val="326"/>
        </w:trPr>
        <w:tc>
          <w:tcPr>
            <w:tcW w:w="474" w:type="pct"/>
            <w:shd w:val="clear" w:color="auto" w:fill="auto"/>
            <w:vAlign w:val="center"/>
          </w:tcPr>
          <w:p w:rsidR="00AD74DC" w:rsidRPr="001D4370" w:rsidRDefault="00AD74DC" w:rsidP="00AD74DC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526" w:type="pct"/>
            <w:gridSpan w:val="3"/>
            <w:shd w:val="clear" w:color="auto" w:fill="auto"/>
            <w:vAlign w:val="center"/>
          </w:tcPr>
          <w:p w:rsidR="00AD74DC" w:rsidRPr="001D4370" w:rsidRDefault="00AD74DC" w:rsidP="00D01388">
            <w:pPr>
              <w:jc w:val="center"/>
              <w:rPr>
                <w:b/>
              </w:rPr>
            </w:pPr>
            <w:r w:rsidRPr="001D4370">
              <w:rPr>
                <w:b/>
              </w:rPr>
              <w:t>Організація, координація та супроводження первинної державної експертизи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2C2CC5">
              <w:t>Надання доступу до організаційно-технічної</w:t>
            </w:r>
          </w:p>
          <w:p w:rsidR="00AD74DC" w:rsidRPr="002C2CC5" w:rsidRDefault="00AD74DC" w:rsidP="00D01388">
            <w:r w:rsidRPr="002C2CC5">
              <w:t>документації КСЗІ в ІКС та технічної документації на</w:t>
            </w:r>
            <w:r>
              <w:t xml:space="preserve"> </w:t>
            </w:r>
            <w:r w:rsidRPr="002C2CC5">
              <w:t>програмне забезпечення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t>Ознайомлення з документацією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2C2CC5">
              <w:t>Забезпечення розробки програми</w:t>
            </w:r>
            <w:r>
              <w:t xml:space="preserve"> та методики</w:t>
            </w:r>
            <w:r w:rsidRPr="002C2CC5">
              <w:t xml:space="preserve"> експертних</w:t>
            </w:r>
            <w:r>
              <w:t xml:space="preserve"> </w:t>
            </w:r>
            <w:r w:rsidRPr="002C2CC5">
              <w:t>випробувань КСЗІ в ІКС організатором експертизи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t xml:space="preserve">Пропозиції до Програми </w:t>
            </w:r>
            <w:r>
              <w:t>та методики</w:t>
            </w:r>
          </w:p>
          <w:p w:rsidR="00AD74DC" w:rsidRPr="002C2CC5" w:rsidRDefault="00AD74DC" w:rsidP="00D01388">
            <w:pPr>
              <w:jc w:val="center"/>
            </w:pPr>
            <w:r w:rsidRPr="002C2CC5">
              <w:t>експертних випробувань</w:t>
            </w: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2C2CC5">
              <w:t>Проведення експертних випробувань КСЗІ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E744CF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</w:tr>
      <w:tr w:rsidR="00AD74DC" w:rsidRPr="002C2CC5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2C2CC5">
              <w:t>Забезпечення оформлення результатів експертизи та</w:t>
            </w:r>
            <w:r>
              <w:t xml:space="preserve"> </w:t>
            </w:r>
            <w:r w:rsidRPr="002C2CC5">
              <w:t>підготовки Атестата відповідності і Експертного</w:t>
            </w:r>
            <w:r>
              <w:t xml:space="preserve"> </w:t>
            </w:r>
            <w:r w:rsidRPr="002C2CC5">
              <w:t>висновку у відповідності до вимог НД ТЗІ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t>Пропозиції до Протоколу</w:t>
            </w:r>
          </w:p>
          <w:p w:rsidR="00AD74DC" w:rsidRPr="002C2CC5" w:rsidRDefault="00AD74DC" w:rsidP="00D01388">
            <w:pPr>
              <w:jc w:val="center"/>
            </w:pPr>
            <w:r w:rsidRPr="002C2CC5">
              <w:t>експертних випробувань, Проект</w:t>
            </w:r>
          </w:p>
          <w:p w:rsidR="00AD74DC" w:rsidRPr="002C2CC5" w:rsidRDefault="00AD74DC" w:rsidP="00D01388">
            <w:pPr>
              <w:jc w:val="center"/>
            </w:pPr>
            <w:r w:rsidRPr="002C2CC5">
              <w:t>Атестата відповідності КСЗІ та</w:t>
            </w:r>
          </w:p>
          <w:p w:rsidR="00AD74DC" w:rsidRPr="002C2CC5" w:rsidRDefault="00AD74DC" w:rsidP="00D01388">
            <w:pPr>
              <w:jc w:val="center"/>
            </w:pPr>
            <w:r w:rsidRPr="002C2CC5">
              <w:t>Експертного висновку</w:t>
            </w:r>
          </w:p>
        </w:tc>
      </w:tr>
      <w:tr w:rsidR="00AD74DC" w:rsidRPr="00DF0BD9" w:rsidTr="00D01388">
        <w:tc>
          <w:tcPr>
            <w:tcW w:w="474" w:type="pct"/>
            <w:shd w:val="clear" w:color="auto" w:fill="auto"/>
            <w:vAlign w:val="center"/>
          </w:tcPr>
          <w:p w:rsidR="00AD74DC" w:rsidRPr="002C2CC5" w:rsidRDefault="00AD74DC" w:rsidP="00AD74DC">
            <w:pPr>
              <w:pStyle w:val="a3"/>
              <w:numPr>
                <w:ilvl w:val="1"/>
                <w:numId w:val="12"/>
              </w:numPr>
              <w:tabs>
                <w:tab w:val="left" w:pos="1134"/>
              </w:tabs>
              <w:ind w:left="-108"/>
              <w:jc w:val="center"/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AD74DC" w:rsidRPr="002C2CC5" w:rsidRDefault="00AD74DC" w:rsidP="00D01388">
            <w:r w:rsidRPr="002C2CC5">
              <w:t>Супроводження процесу опрацювання в</w:t>
            </w:r>
          </w:p>
          <w:p w:rsidR="00AD74DC" w:rsidRPr="002C2CC5" w:rsidRDefault="00AD74DC" w:rsidP="00D01388">
            <w:proofErr w:type="spellStart"/>
            <w:r w:rsidRPr="002C2CC5">
              <w:t>Держспецзв’язку</w:t>
            </w:r>
            <w:proofErr w:type="spellEnd"/>
            <w:r w:rsidRPr="002C2CC5">
              <w:t xml:space="preserve"> результатів експертизи і</w:t>
            </w:r>
          </w:p>
          <w:p w:rsidR="00AD74DC" w:rsidRPr="002C2CC5" w:rsidRDefault="00AD74DC" w:rsidP="00D01388">
            <w:r w:rsidRPr="002C2CC5">
              <w:t>оформлення для Замовника Атестата відповідності</w:t>
            </w:r>
            <w:r>
              <w:t xml:space="preserve"> </w:t>
            </w:r>
            <w:r w:rsidRPr="002C2CC5">
              <w:t>(Експертного висновку)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D74DC" w:rsidRPr="00E744CF" w:rsidRDefault="00AD74DC" w:rsidP="00D01388">
            <w:pPr>
              <w:jc w:val="center"/>
            </w:pPr>
            <w:r>
              <w:t>25.12.2024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t>За</w:t>
            </w:r>
            <w:r>
              <w:t xml:space="preserve">реєстрований </w:t>
            </w:r>
            <w:proofErr w:type="spellStart"/>
            <w:r w:rsidRPr="002C2CC5">
              <w:t>Держспецзв’язку</w:t>
            </w:r>
            <w:proofErr w:type="spellEnd"/>
          </w:p>
          <w:p w:rsidR="00AD74DC" w:rsidRPr="002C2CC5" w:rsidRDefault="00AD74DC" w:rsidP="00D01388">
            <w:pPr>
              <w:jc w:val="center"/>
            </w:pPr>
            <w:r w:rsidRPr="002C2CC5">
              <w:t>Атестат відповідності КСЗІ</w:t>
            </w:r>
          </w:p>
          <w:p w:rsidR="00AD74DC" w:rsidRPr="002C2CC5" w:rsidRDefault="00AD74DC" w:rsidP="00D01388">
            <w:pPr>
              <w:jc w:val="center"/>
            </w:pPr>
            <w:r w:rsidRPr="002C2CC5">
              <w:t>вимогам НД ТЗІ (Експертний</w:t>
            </w:r>
          </w:p>
          <w:p w:rsidR="00AD74DC" w:rsidRPr="00DF0BD9" w:rsidRDefault="00AD74DC" w:rsidP="00D01388">
            <w:pPr>
              <w:jc w:val="center"/>
              <w:rPr>
                <w:lang w:val="en-US"/>
              </w:rPr>
            </w:pPr>
            <w:r w:rsidRPr="002C2CC5">
              <w:t>висновок)</w:t>
            </w:r>
          </w:p>
        </w:tc>
      </w:tr>
      <w:tr w:rsidR="00AD74DC" w:rsidRPr="002C2CC5" w:rsidTr="00D01388">
        <w:tc>
          <w:tcPr>
            <w:tcW w:w="3582" w:type="pct"/>
            <w:gridSpan w:val="3"/>
            <w:shd w:val="clear" w:color="auto" w:fill="auto"/>
            <w:vAlign w:val="center"/>
          </w:tcPr>
          <w:p w:rsidR="00AD74DC" w:rsidRDefault="00AD74DC" w:rsidP="00D01388">
            <w:pPr>
              <w:jc w:val="center"/>
            </w:pPr>
          </w:p>
          <w:p w:rsidR="00AD74DC" w:rsidRPr="00B25D95" w:rsidRDefault="00AD74DC" w:rsidP="00D01388">
            <w:pPr>
              <w:jc w:val="center"/>
            </w:pPr>
            <w:r>
              <w:t>За етапом 3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AD74DC" w:rsidRPr="002C2CC5" w:rsidRDefault="00AD74DC" w:rsidP="00D01388">
            <w:pPr>
              <w:jc w:val="center"/>
            </w:pPr>
            <w:r w:rsidRPr="00B25D95">
              <w:rPr>
                <w:b/>
              </w:rPr>
              <w:t>Акт приймання-передачі</w:t>
            </w:r>
            <w:r>
              <w:rPr>
                <w:b/>
              </w:rPr>
              <w:t xml:space="preserve"> послуг</w:t>
            </w:r>
          </w:p>
        </w:tc>
      </w:tr>
    </w:tbl>
    <w:p w:rsidR="00AD74DC" w:rsidRDefault="00AD74DC" w:rsidP="00AD74DC">
      <w:pPr>
        <w:rPr>
          <w:szCs w:val="28"/>
        </w:rPr>
      </w:pPr>
    </w:p>
    <w:p w:rsidR="00AD74DC" w:rsidRPr="00BE640C" w:rsidRDefault="00AD74DC" w:rsidP="00AD74DC">
      <w:pPr>
        <w:pStyle w:val="2"/>
        <w:numPr>
          <w:ilvl w:val="1"/>
          <w:numId w:val="6"/>
        </w:numPr>
        <w:tabs>
          <w:tab w:val="clear" w:pos="5104"/>
        </w:tabs>
        <w:ind w:left="0" w:firstLine="708"/>
        <w:rPr>
          <w:lang w:val="uk-UA"/>
        </w:rPr>
      </w:pPr>
      <w:r w:rsidRPr="00AD64CA">
        <w:rPr>
          <w:b/>
          <w:lang w:val="uk-UA"/>
        </w:rPr>
        <w:t>Мета закупівлі.</w:t>
      </w:r>
      <w:r>
        <w:rPr>
          <w:b/>
          <w:lang w:val="uk-UA"/>
        </w:rPr>
        <w:t xml:space="preserve"> </w:t>
      </w:r>
      <w:r w:rsidRPr="00AD64CA">
        <w:rPr>
          <w:lang w:val="uk-UA"/>
        </w:rPr>
        <w:t xml:space="preserve">Виконання </w:t>
      </w:r>
      <w:r>
        <w:rPr>
          <w:lang w:val="uk-UA"/>
        </w:rPr>
        <w:t xml:space="preserve">законодавчих та </w:t>
      </w:r>
      <w:r w:rsidRPr="00AD64CA">
        <w:rPr>
          <w:lang w:val="uk-UA"/>
        </w:rPr>
        <w:t>нормативних документів щодо захисту інформації.</w:t>
      </w:r>
      <w:r>
        <w:rPr>
          <w:lang w:val="uk-UA"/>
        </w:rPr>
        <w:t xml:space="preserve"> Н</w:t>
      </w:r>
      <w:r w:rsidRPr="00BE640C">
        <w:rPr>
          <w:lang w:val="uk-UA"/>
        </w:rPr>
        <w:t>еобхідн</w:t>
      </w:r>
      <w:r>
        <w:rPr>
          <w:lang w:val="uk-UA"/>
        </w:rPr>
        <w:t xml:space="preserve">ість </w:t>
      </w:r>
      <w:r w:rsidRPr="00BE640C">
        <w:rPr>
          <w:lang w:val="uk-UA"/>
        </w:rPr>
        <w:t>досягнення відповідного рівня захищеності інформації (державних інформаційних ресурсів) за мінімальних затрат і допустимого рівня обмежень на технологію її обробки в інформаційно-комунікаційних системах Держмитслужби, створення комплексної системи захисту інформації з підтвердженою відповідністю в ІКС.</w:t>
      </w:r>
    </w:p>
    <w:p w:rsidR="00AD74DC" w:rsidRPr="00AD64CA" w:rsidRDefault="00AD74DC" w:rsidP="00AD74DC">
      <w:pPr>
        <w:pStyle w:val="2"/>
        <w:numPr>
          <w:ilvl w:val="1"/>
          <w:numId w:val="6"/>
        </w:numPr>
        <w:tabs>
          <w:tab w:val="clear" w:pos="5104"/>
        </w:tabs>
        <w:ind w:left="0" w:firstLine="708"/>
        <w:rPr>
          <w:szCs w:val="28"/>
        </w:rPr>
      </w:pPr>
      <w:r w:rsidRPr="00AD64CA">
        <w:rPr>
          <w:b/>
          <w:lang w:val="uk-UA"/>
        </w:rPr>
        <w:t>П</w:t>
      </w:r>
      <w:proofErr w:type="spellStart"/>
      <w:r w:rsidRPr="00AD64CA">
        <w:rPr>
          <w:b/>
        </w:rPr>
        <w:t>осилання</w:t>
      </w:r>
      <w:proofErr w:type="spellEnd"/>
      <w:r w:rsidRPr="00AD64CA">
        <w:rPr>
          <w:b/>
        </w:rPr>
        <w:t xml:space="preserve"> на вимого чинного законодавства</w:t>
      </w:r>
      <w:r w:rsidRPr="00AD64CA">
        <w:rPr>
          <w:b/>
          <w:lang w:val="uk-UA"/>
        </w:rPr>
        <w:t>:</w:t>
      </w:r>
      <w:r>
        <w:t xml:space="preserve"> </w:t>
      </w:r>
      <w:r>
        <w:rPr>
          <w:lang w:val="uk-UA"/>
        </w:rPr>
        <w:t>П</w:t>
      </w:r>
      <w:proofErr w:type="spellStart"/>
      <w:r w:rsidRPr="004240B7">
        <w:t>ункт</w:t>
      </w:r>
      <w:proofErr w:type="spellEnd"/>
      <w:r w:rsidRPr="004240B7">
        <w:t xml:space="preserve"> 9</w:t>
      </w:r>
      <w:r w:rsidRPr="00AD64CA">
        <w:rPr>
          <w:vertAlign w:val="superscript"/>
        </w:rPr>
        <w:t>28</w:t>
      </w:r>
      <w:r w:rsidRPr="004240B7">
        <w:t xml:space="preserve"> прикінцевих та перехідних положень,</w:t>
      </w:r>
      <w:r>
        <w:t xml:space="preserve"> статт</w:t>
      </w:r>
      <w:r>
        <w:rPr>
          <w:lang w:val="uk-UA"/>
        </w:rPr>
        <w:t>я</w:t>
      </w:r>
      <w:r w:rsidRPr="004240B7">
        <w:t xml:space="preserve"> 35</w:t>
      </w:r>
      <w:r>
        <w:t xml:space="preserve"> Митного кодексу України,</w:t>
      </w:r>
      <w:r>
        <w:rPr>
          <w:lang w:val="uk-UA"/>
        </w:rPr>
        <w:t xml:space="preserve"> </w:t>
      </w:r>
      <w:r>
        <w:rPr>
          <w:lang w:val="uk-UA"/>
        </w:rPr>
        <w:br/>
      </w:r>
      <w:r>
        <w:t>статт</w:t>
      </w:r>
      <w:r>
        <w:rPr>
          <w:lang w:val="uk-UA"/>
        </w:rPr>
        <w:t>я</w:t>
      </w:r>
      <w:r w:rsidRPr="004240B7">
        <w:t xml:space="preserve"> 8 Закону України «Про захист</w:t>
      </w:r>
      <w:r>
        <w:t xml:space="preserve"> </w:t>
      </w:r>
      <w:r w:rsidRPr="004240B7">
        <w:t>інформації в інформаційно-</w:t>
      </w:r>
      <w:r>
        <w:t>комунікаційних системах», статт</w:t>
      </w:r>
      <w:r>
        <w:rPr>
          <w:lang w:val="uk-UA"/>
        </w:rPr>
        <w:t>я</w:t>
      </w:r>
      <w:r w:rsidRPr="004240B7">
        <w:t xml:space="preserve"> 24 Закону</w:t>
      </w:r>
      <w:r>
        <w:t xml:space="preserve"> </w:t>
      </w:r>
      <w:r w:rsidRPr="004240B7">
        <w:t>України «Про захист персональних даних», Закон України «Про Національну</w:t>
      </w:r>
      <w:r>
        <w:t xml:space="preserve"> </w:t>
      </w:r>
      <w:r w:rsidRPr="004240B7">
        <w:t>про</w:t>
      </w:r>
      <w:r>
        <w:t>граму інформатизації», Методик</w:t>
      </w:r>
      <w:r>
        <w:rPr>
          <w:lang w:val="uk-UA"/>
        </w:rPr>
        <w:t>а</w:t>
      </w:r>
      <w:r w:rsidRPr="004240B7">
        <w:t xml:space="preserve"> визначення належності бюджетних</w:t>
      </w:r>
      <w:r>
        <w:t xml:space="preserve"> </w:t>
      </w:r>
      <w:r w:rsidRPr="004240B7">
        <w:t>програм до с</w:t>
      </w:r>
      <w:r>
        <w:t>фери інформатизації, затверджен</w:t>
      </w:r>
      <w:r>
        <w:rPr>
          <w:lang w:val="uk-UA"/>
        </w:rPr>
        <w:t>а</w:t>
      </w:r>
      <w:r w:rsidRPr="004240B7">
        <w:t xml:space="preserve"> наказом Міністерства</w:t>
      </w:r>
      <w:r>
        <w:t xml:space="preserve"> </w:t>
      </w:r>
      <w:r w:rsidRPr="004240B7">
        <w:t>цифрової трансформації України від 29 берез</w:t>
      </w:r>
      <w:r>
        <w:t xml:space="preserve">ня 2023 року № 34, </w:t>
      </w:r>
      <w:r>
        <w:lastRenderedPageBreak/>
        <w:t>зареєстрован</w:t>
      </w:r>
      <w:r>
        <w:rPr>
          <w:lang w:val="uk-UA"/>
        </w:rPr>
        <w:t>а</w:t>
      </w:r>
      <w:r>
        <w:t xml:space="preserve"> </w:t>
      </w:r>
      <w:r w:rsidRPr="004240B7">
        <w:t xml:space="preserve">в Міністерстві юстиції України 14 квітня 2023 року за </w:t>
      </w:r>
      <w:r>
        <w:br/>
      </w:r>
      <w:r w:rsidRPr="004240B7">
        <w:t>№ 625/39681, пункт</w:t>
      </w:r>
      <w:r>
        <w:t xml:space="preserve"> «</w:t>
      </w:r>
      <w:r w:rsidRPr="004240B7">
        <w:t>6. Підвищення інформаційної безпеки» Національної економічної стратегії на</w:t>
      </w:r>
      <w:r>
        <w:t xml:space="preserve"> </w:t>
      </w:r>
      <w:r w:rsidRPr="004240B7">
        <w:t>період до 2030 року, затвердженої постановою Кабінету Міністрів України</w:t>
      </w:r>
      <w:r>
        <w:t xml:space="preserve"> </w:t>
      </w:r>
      <w:r w:rsidRPr="004240B7">
        <w:t>від 3 березня 2021 року № 179</w:t>
      </w:r>
      <w:r w:rsidRPr="00F77E04">
        <w:t>, Положення про Відділ інформаційної безпеки Державної митної служби України, затверджене наказом Держмитслужби від 24.05.2021 № 357</w:t>
      </w:r>
      <w:r>
        <w:rPr>
          <w:lang w:val="uk-UA"/>
        </w:rPr>
        <w:t>.</w:t>
      </w:r>
    </w:p>
    <w:p w:rsidR="00AD74DC" w:rsidRPr="00AD74DC" w:rsidRDefault="00AD74DC" w:rsidP="00AD74DC">
      <w:pPr>
        <w:pStyle w:val="a6"/>
        <w:keepNext/>
        <w:numPr>
          <w:ilvl w:val="0"/>
          <w:numId w:val="6"/>
        </w:numPr>
        <w:spacing w:before="480"/>
        <w:rPr>
          <w:rFonts w:ascii="Times New Roman" w:hAnsi="Times New Roman" w:cs="Times New Roman"/>
          <w:b/>
        </w:rPr>
      </w:pPr>
      <w:r w:rsidRPr="00AD74DC">
        <w:rPr>
          <w:rFonts w:ascii="Times New Roman" w:hAnsi="Times New Roman" w:cs="Times New Roman"/>
        </w:rPr>
        <w:t xml:space="preserve">Обґрунтування обсягів закупівлі (відповідно до чого визначено обсяги закупівлі або на підставі чого обраховано).  Обсяг закупівлі визначено відповідно до переліку функціональних систем, які входять до складу ЄАІС (пункт 4 додатку 2 до </w:t>
      </w:r>
      <w:proofErr w:type="spellStart"/>
      <w:r w:rsidRPr="00AD74DC">
        <w:rPr>
          <w:rFonts w:ascii="Times New Roman" w:hAnsi="Times New Roman" w:cs="Times New Roman"/>
        </w:rPr>
        <w:t>проєкту</w:t>
      </w:r>
      <w:proofErr w:type="spellEnd"/>
      <w:r w:rsidRPr="00AD74DC">
        <w:rPr>
          <w:rFonts w:ascii="Times New Roman" w:hAnsi="Times New Roman" w:cs="Times New Roman"/>
        </w:rPr>
        <w:t xml:space="preserve"> Договору).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2414"/>
        <w:gridCol w:w="6499"/>
      </w:tblGrid>
      <w:tr w:rsidR="00AD74DC" w:rsidRPr="002C2CC5" w:rsidTr="00D01388">
        <w:trPr>
          <w:tblHeader/>
          <w:jc w:val="center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AD74DC" w:rsidRDefault="00AD74DC" w:rsidP="00D013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AD74DC" w:rsidRDefault="00AD74DC" w:rsidP="00D013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Найменування ІКС і засобів</w:t>
            </w:r>
            <w:r w:rsidRPr="002C2CC5">
              <w:rPr>
                <w:b/>
                <w:bCs/>
              </w:rPr>
              <w:t xml:space="preserve"> забезпечення</w:t>
            </w:r>
          </w:p>
        </w:tc>
        <w:tc>
          <w:tcPr>
            <w:tcW w:w="64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AD74DC" w:rsidRDefault="00AD74DC" w:rsidP="00D01388">
            <w:pPr>
              <w:jc w:val="center"/>
              <w:rPr>
                <w:b/>
                <w:bCs/>
              </w:rPr>
            </w:pPr>
            <w:r w:rsidRPr="002C2CC5">
              <w:rPr>
                <w:b/>
                <w:bCs/>
              </w:rPr>
              <w:t>Стислий опис</w:t>
            </w:r>
          </w:p>
        </w:tc>
      </w:tr>
      <w:tr w:rsidR="00AD74DC" w:rsidRPr="002C2CC5" w:rsidTr="00D01388">
        <w:trPr>
          <w:jc w:val="center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74DC" w:rsidRPr="002C2CC5" w:rsidRDefault="00AD74DC" w:rsidP="00D01388">
            <w:pPr>
              <w:jc w:val="center"/>
            </w:pPr>
            <w:r>
              <w:t>1</w:t>
            </w:r>
          </w:p>
        </w:tc>
        <w:tc>
          <w:tcPr>
            <w:tcW w:w="241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D74DC" w:rsidRDefault="00AD74DC" w:rsidP="00D01388">
            <w:r w:rsidRPr="002C2CC5">
              <w:t>Єдина автоматизована інформаційна система митних органів</w:t>
            </w:r>
          </w:p>
          <w:p w:rsidR="00AD74DC" w:rsidRPr="002C2CC5" w:rsidRDefault="00AD74DC" w:rsidP="00D01388">
            <w:r>
              <w:t>(ЄАІС)</w:t>
            </w:r>
          </w:p>
        </w:tc>
        <w:tc>
          <w:tcPr>
            <w:tcW w:w="6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74DC" w:rsidRPr="002C2CC5" w:rsidRDefault="00AD74DC" w:rsidP="00D01388">
            <w:r>
              <w:t xml:space="preserve">ЄАІС складається з наступних функціональних систем: АСМО «Центр», </w:t>
            </w:r>
            <w:proofErr w:type="spellStart"/>
            <w:r>
              <w:t>в</w:t>
            </w:r>
            <w:r w:rsidRPr="002C2CC5">
              <w:t>ебпортал</w:t>
            </w:r>
            <w:proofErr w:type="spellEnd"/>
            <w:r w:rsidRPr="002C2CC5">
              <w:t xml:space="preserve"> «Єдине вікно»</w:t>
            </w:r>
            <w:r>
              <w:t>, ЕТС і засоби забезпечення(</w:t>
            </w:r>
            <w:r w:rsidRPr="002C2CC5">
              <w:t>ПТК «Електронна пошта»</w:t>
            </w:r>
            <w:r>
              <w:t>, ВКМ).</w:t>
            </w:r>
          </w:p>
        </w:tc>
      </w:tr>
      <w:tr w:rsidR="00AD74DC" w:rsidRPr="002C2CC5" w:rsidTr="00D01388">
        <w:trPr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:rsidR="00AD74DC" w:rsidRPr="002C2CC5" w:rsidRDefault="00AD74DC" w:rsidP="00D01388">
            <w:pPr>
              <w:jc w:val="center"/>
            </w:pPr>
            <w:r>
              <w:t>2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D74DC" w:rsidRDefault="00AD74DC" w:rsidP="00D01388">
            <w:r w:rsidRPr="002C2CC5">
              <w:t>Автоматизована система митного оформлення «Центр»</w:t>
            </w:r>
          </w:p>
          <w:p w:rsidR="00AD74DC" w:rsidRPr="002C2CC5" w:rsidRDefault="00AD74DC" w:rsidP="00D01388">
            <w:r>
              <w:t>(</w:t>
            </w:r>
            <w:r w:rsidRPr="002C2CC5">
              <w:t>АСМО «Центр»</w:t>
            </w:r>
            <w:r>
              <w:t>)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:rsidR="00AD74DC" w:rsidRPr="002C2CC5" w:rsidRDefault="00AD74DC" w:rsidP="00D01388">
            <w:r w:rsidRPr="00F377A7">
              <w:t>Призначенням АСМО «Центр» є збір, накопичення та подальша обробка електронних митних декларацій, електронних копій митних</w:t>
            </w:r>
            <w:r>
              <w:t xml:space="preserve"> </w:t>
            </w:r>
            <w:r w:rsidRPr="00F377A7">
              <w:t>декларацій, інших електронних документів, передбачених законодавством України з питань митної справи, електронних копій інших документів,</w:t>
            </w:r>
            <w:r>
              <w:t xml:space="preserve"> </w:t>
            </w:r>
            <w:r w:rsidRPr="00F377A7">
              <w:t>передбачених законодавством України з питань митної справи, інформації в електронній формі, отриманої під час здійснення митного контролю та</w:t>
            </w:r>
            <w:r>
              <w:t xml:space="preserve"> </w:t>
            </w:r>
            <w:r w:rsidRPr="00F377A7">
              <w:t>митного оформлення та в межах міжвідомчої та міжнародної інформаційної взаємодії, на центральному рівні, а також архівування всієї інформації</w:t>
            </w:r>
            <w:r>
              <w:t>.</w:t>
            </w:r>
          </w:p>
        </w:tc>
      </w:tr>
      <w:tr w:rsidR="00AD74DC" w:rsidRPr="002C2CC5" w:rsidTr="00D01388">
        <w:trPr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t>3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D74DC" w:rsidRDefault="00AD74DC" w:rsidP="00D01388">
            <w:r w:rsidRPr="002C2CC5">
              <w:t>Єдиний державний інформаційний веб-портал «Єдине вікно для міжнародної торгівлі»</w:t>
            </w:r>
          </w:p>
          <w:p w:rsidR="00AD74DC" w:rsidRPr="002C2CC5" w:rsidRDefault="00AD74DC" w:rsidP="00D01388">
            <w:r>
              <w:t>(</w:t>
            </w:r>
            <w:proofErr w:type="spellStart"/>
            <w:r>
              <w:t>в</w:t>
            </w:r>
            <w:r w:rsidRPr="002C2CC5">
              <w:t>ебпортал</w:t>
            </w:r>
            <w:proofErr w:type="spellEnd"/>
            <w:r w:rsidRPr="002C2CC5">
              <w:t xml:space="preserve"> «Єдине вікно»</w:t>
            </w:r>
            <w:r>
              <w:t>)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:rsidR="00AD74DC" w:rsidRPr="00F377A7" w:rsidRDefault="00AD74DC" w:rsidP="00D01388">
            <w:r w:rsidRPr="00F377A7">
              <w:t xml:space="preserve">Призначенням </w:t>
            </w:r>
            <w:proofErr w:type="spellStart"/>
            <w:r w:rsidRPr="00F377A7">
              <w:t>вебпорталу</w:t>
            </w:r>
            <w:proofErr w:type="spellEnd"/>
            <w:r w:rsidRPr="00F377A7">
              <w:t xml:space="preserve"> «Єдине вікно» є забезпечення інформаційної взаємодії фізичних осіб, фізичних осіб - підприємців, юридичних</w:t>
            </w:r>
            <w:r>
              <w:t xml:space="preserve"> </w:t>
            </w:r>
            <w:r w:rsidRPr="00F377A7">
              <w:t>осіб, нерезидентів, які є учасниками відносин, що регулюються законодавством України з питань митної справи, їх уповноважених осіб(представників) та інших заінтересованих осіб з митними органами, іншими державними органами, установами та організаціями, уповноваженими</w:t>
            </w:r>
            <w:r>
              <w:t xml:space="preserve"> </w:t>
            </w:r>
            <w:r w:rsidRPr="00F377A7">
              <w:t xml:space="preserve">на здійснення дозвільних або контрольних функцій щодо переміщення товарів, транспортних засобів </w:t>
            </w:r>
            <w:r w:rsidRPr="00F377A7">
              <w:lastRenderedPageBreak/>
              <w:t>комерційного призначення через митний</w:t>
            </w:r>
            <w:r>
              <w:t xml:space="preserve"> </w:t>
            </w:r>
            <w:r w:rsidRPr="00F377A7">
              <w:t>кордон України.</w:t>
            </w:r>
          </w:p>
          <w:p w:rsidR="00AD74DC" w:rsidRPr="002C2CC5" w:rsidRDefault="00AD74DC" w:rsidP="00D01388">
            <w:r w:rsidRPr="00F377A7">
              <w:t xml:space="preserve">Механізм «єдиного вікна» забезпечує можливість одноразового подання в електронній формі через </w:t>
            </w:r>
            <w:proofErr w:type="spellStart"/>
            <w:r w:rsidRPr="00F377A7">
              <w:t>вебпортал</w:t>
            </w:r>
            <w:proofErr w:type="spellEnd"/>
            <w:r w:rsidRPr="00F377A7">
              <w:t xml:space="preserve"> «Єдине вікно» документів та/або</w:t>
            </w:r>
            <w:r>
              <w:t xml:space="preserve"> </w:t>
            </w:r>
            <w:r w:rsidRPr="00F377A7">
              <w:t>відомостей, передбачених законодавством України з питань митної справи.</w:t>
            </w:r>
          </w:p>
        </w:tc>
      </w:tr>
      <w:tr w:rsidR="00AD74DC" w:rsidRPr="002C2CC5" w:rsidTr="00D01388">
        <w:trPr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lastRenderedPageBreak/>
              <w:t>4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D74DC" w:rsidRDefault="00AD74DC" w:rsidP="00D01388">
            <w:r w:rsidRPr="002C2CC5">
              <w:t>Електронна транзитна система, що функціонує на національному рівні</w:t>
            </w:r>
          </w:p>
          <w:p w:rsidR="00AD74DC" w:rsidRPr="002C2CC5" w:rsidRDefault="00AD74DC" w:rsidP="00D01388">
            <w:r>
              <w:t>(</w:t>
            </w:r>
            <w:r w:rsidRPr="002C2CC5">
              <w:t>ЕТС</w:t>
            </w:r>
            <w:r>
              <w:t>)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:rsidR="00AD74DC" w:rsidRPr="0095263F" w:rsidRDefault="00AD74DC" w:rsidP="00D01388">
            <w:r w:rsidRPr="0095263F">
              <w:t>Призначенням ЕТС є забезпечення виконання митних формальностей, передбачених</w:t>
            </w:r>
            <w:r>
              <w:t xml:space="preserve"> </w:t>
            </w:r>
            <w:r w:rsidRPr="0095263F">
              <w:t>Конвенцією про процедуру спільного транзиту</w:t>
            </w:r>
            <w:r>
              <w:t xml:space="preserve"> </w:t>
            </w:r>
            <w:r w:rsidRPr="0095263F">
              <w:t>та</w:t>
            </w:r>
            <w:r>
              <w:t xml:space="preserve"> </w:t>
            </w:r>
            <w:r w:rsidRPr="0095263F">
              <w:t>Кодексом, обмін інформацією та взаємодія між митними органами, у тому числі іноземних держав.</w:t>
            </w:r>
          </w:p>
          <w:p w:rsidR="00AD74DC" w:rsidRPr="0095263F" w:rsidRDefault="00AD74DC" w:rsidP="00D01388">
            <w:r w:rsidRPr="0095263F">
              <w:t xml:space="preserve">ЕТС функціонує на національному рівні та сумісна з </w:t>
            </w:r>
            <w:proofErr w:type="spellStart"/>
            <w:r w:rsidRPr="0095263F">
              <w:t>New</w:t>
            </w:r>
            <w:proofErr w:type="spellEnd"/>
            <w:r w:rsidRPr="0095263F">
              <w:t xml:space="preserve"> </w:t>
            </w:r>
            <w:proofErr w:type="spellStart"/>
            <w:r w:rsidRPr="0095263F">
              <w:t>Computerised</w:t>
            </w:r>
            <w:proofErr w:type="spellEnd"/>
            <w:r w:rsidRPr="0095263F">
              <w:t xml:space="preserve"> </w:t>
            </w:r>
            <w:proofErr w:type="spellStart"/>
            <w:r w:rsidRPr="0095263F">
              <w:t>Transit</w:t>
            </w:r>
            <w:proofErr w:type="spellEnd"/>
            <w:r w:rsidRPr="0095263F">
              <w:t xml:space="preserve"> </w:t>
            </w:r>
            <w:proofErr w:type="spellStart"/>
            <w:r w:rsidRPr="0095263F">
              <w:t>System</w:t>
            </w:r>
            <w:proofErr w:type="spellEnd"/>
            <w:r w:rsidRPr="0095263F">
              <w:t xml:space="preserve"> (NCTS), що функціонує на міжнародному рівні.</w:t>
            </w:r>
          </w:p>
          <w:p w:rsidR="00AD74DC" w:rsidRPr="002C2CC5" w:rsidRDefault="00AD74DC" w:rsidP="00D01388">
            <w:r w:rsidRPr="0095263F">
              <w:t>Для обміну інформацією для цілей процедури спільного транзиту країнами-учасницями</w:t>
            </w:r>
            <w:r>
              <w:t xml:space="preserve"> </w:t>
            </w:r>
            <w:r w:rsidRPr="0095263F">
              <w:t>Конвенції про процедуру спільного транзиту</w:t>
            </w:r>
            <w:r>
              <w:t xml:space="preserve"> </w:t>
            </w:r>
            <w:r w:rsidRPr="0095263F">
              <w:t>використовується Спільна комунікаційна мережа / Спільний системний інтерфейс Європейського Союзу (CCN/CSI).</w:t>
            </w:r>
          </w:p>
        </w:tc>
      </w:tr>
      <w:tr w:rsidR="00AD74DC" w:rsidRPr="002C2CC5" w:rsidTr="00D01388">
        <w:trPr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:rsidR="00AD74DC" w:rsidRPr="002C2CC5" w:rsidRDefault="00AD74DC" w:rsidP="00D01388">
            <w:pPr>
              <w:jc w:val="center"/>
            </w:pPr>
            <w:r w:rsidRPr="002C2CC5">
              <w:t>5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AD74DC" w:rsidRDefault="00AD74DC" w:rsidP="00D01388">
            <w:r>
              <w:t>Засоби забезпечення (п</w:t>
            </w:r>
            <w:r w:rsidRPr="002C2CC5">
              <w:t>рограмно-технічний комплекс Держмитслужби «Електронна пошта»</w:t>
            </w:r>
          </w:p>
          <w:p w:rsidR="00AD74DC" w:rsidRPr="002C2CC5" w:rsidRDefault="00AD74DC" w:rsidP="00D01388">
            <w:r>
              <w:t>(</w:t>
            </w:r>
            <w:r w:rsidRPr="002C2CC5">
              <w:t>ПТК «Електронна пошта»</w:t>
            </w:r>
            <w:r>
              <w:t>) тощо)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:rsidR="00AD74DC" w:rsidRPr="002C2CC5" w:rsidRDefault="00AD74DC" w:rsidP="00D01388">
            <w:r w:rsidRPr="0095263F">
              <w:t>Призначенням ПТК «Електронна пошта» є забезпечення інформаційної взаємодії між АСМО «Центр» та локальними підсистемами територіальних органів Держмитслужби, передачі електронних повідомлень між користувачами ЄАІС та ЄАІС, а також обміну інформацією між</w:t>
            </w:r>
            <w:r>
              <w:t xml:space="preserve"> </w:t>
            </w:r>
            <w:r w:rsidRPr="0095263F">
              <w:t>митними органами, іншими органами державної влади, установами та організаціями.</w:t>
            </w:r>
          </w:p>
        </w:tc>
      </w:tr>
      <w:tr w:rsidR="00AD74DC" w:rsidRPr="002C2CC5" w:rsidTr="00D01388">
        <w:trPr>
          <w:jc w:val="center"/>
        </w:trPr>
        <w:tc>
          <w:tcPr>
            <w:tcW w:w="558" w:type="dxa"/>
            <w:tcBorders>
              <w:left w:val="single" w:sz="12" w:space="0" w:color="auto"/>
            </w:tcBorders>
            <w:vAlign w:val="center"/>
          </w:tcPr>
          <w:p w:rsidR="00AD74DC" w:rsidRPr="00390147" w:rsidRDefault="00AD74DC" w:rsidP="00D01388">
            <w:pPr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D74DC" w:rsidRDefault="00AD74DC" w:rsidP="00D01388">
            <w:r w:rsidRPr="002C2CC5">
              <w:t>Відомча електронна комунікаційна мережа Держмитслужби</w:t>
            </w:r>
          </w:p>
          <w:p w:rsidR="00AD74DC" w:rsidRPr="002C2CC5" w:rsidRDefault="00AD74DC" w:rsidP="00D01388">
            <w:r>
              <w:t>(ВКМ)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vAlign w:val="center"/>
          </w:tcPr>
          <w:p w:rsidR="00AD74DC" w:rsidRPr="0095263F" w:rsidRDefault="00AD74DC" w:rsidP="00D01388">
            <w:r w:rsidRPr="0095263F">
              <w:t>Призначенням ВКМ та локальних обчислювальних мереж апарату Держмитслужби та її територіальних органів, розгорнутих у приміщеннях</w:t>
            </w:r>
            <w:r>
              <w:t xml:space="preserve"> </w:t>
            </w:r>
            <w:r w:rsidRPr="0095263F">
              <w:t>митних органів, є забезпечення безперебійної передачі інформації між складовими ЄАІС, а також забезпечення доступу до них з автоматизованих</w:t>
            </w:r>
            <w:r>
              <w:t xml:space="preserve"> </w:t>
            </w:r>
            <w:r w:rsidRPr="0095263F">
              <w:t>робочих місць користувачів.</w:t>
            </w:r>
          </w:p>
        </w:tc>
      </w:tr>
      <w:tr w:rsidR="00AD74DC" w:rsidRPr="002C2CC5" w:rsidTr="00D01388">
        <w:trPr>
          <w:jc w:val="center"/>
        </w:trPr>
        <w:tc>
          <w:tcPr>
            <w:tcW w:w="5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74DC" w:rsidRPr="002C2CC5" w:rsidRDefault="00AD74DC" w:rsidP="00D01388">
            <w:pPr>
              <w:jc w:val="center"/>
            </w:pPr>
            <w:r>
              <w:t>7</w:t>
            </w:r>
          </w:p>
        </w:tc>
        <w:tc>
          <w:tcPr>
            <w:tcW w:w="2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74DC" w:rsidRPr="007770C8" w:rsidRDefault="00AD74DC" w:rsidP="00D01388">
            <w:r w:rsidRPr="007770C8">
              <w:t>Робоче місце користувача ЄАІС</w:t>
            </w:r>
          </w:p>
        </w:tc>
        <w:tc>
          <w:tcPr>
            <w:tcW w:w="64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74DC" w:rsidRPr="007770C8" w:rsidRDefault="00AD74DC" w:rsidP="00D01388">
            <w:r>
              <w:t>О</w:t>
            </w:r>
            <w:r w:rsidRPr="007770C8">
              <w:t xml:space="preserve">рганізаційно-технічне рішення для доступу до інформації, що обробляється та зберігається в ЄАІС із застосуванням визначених механізмів/інтерфейсів </w:t>
            </w:r>
            <w:r w:rsidRPr="007770C8">
              <w:lastRenderedPageBreak/>
              <w:t>взаємодії користувачам Держмитслужби та працівникам інших державних установ, відповідно до вимог законодавства України.</w:t>
            </w:r>
          </w:p>
        </w:tc>
      </w:tr>
    </w:tbl>
    <w:p w:rsidR="00AD74DC" w:rsidRPr="00AD74DC" w:rsidRDefault="00AD74DC" w:rsidP="00AD74DC">
      <w:pPr>
        <w:pStyle w:val="a6"/>
        <w:keepNext/>
        <w:numPr>
          <w:ilvl w:val="0"/>
          <w:numId w:val="6"/>
        </w:numPr>
        <w:spacing w:before="0"/>
        <w:rPr>
          <w:rFonts w:ascii="Times New Roman" w:hAnsi="Times New Roman" w:cs="Times New Roman"/>
          <w:b/>
        </w:rPr>
      </w:pPr>
      <w:r w:rsidRPr="00AD74DC">
        <w:rPr>
          <w:rFonts w:ascii="Times New Roman" w:hAnsi="Times New Roman" w:cs="Times New Roman"/>
        </w:rPr>
        <w:lastRenderedPageBreak/>
        <w:t>Обґрунтування технічних та якісних характеристик закупівлі. Якісні характеристики визначено відповідно до норма та стандартів до зазначеного предмета закупівлі.</w:t>
      </w:r>
    </w:p>
    <w:p w:rsidR="00AD74DC" w:rsidRPr="00AD74DC" w:rsidRDefault="00AD74DC" w:rsidP="00AD74DC">
      <w:pPr>
        <w:pStyle w:val="a6"/>
        <w:keepNext/>
        <w:numPr>
          <w:ilvl w:val="0"/>
          <w:numId w:val="6"/>
        </w:numPr>
        <w:spacing w:before="0"/>
        <w:rPr>
          <w:rFonts w:ascii="Times New Roman" w:hAnsi="Times New Roman" w:cs="Times New Roman"/>
          <w:b/>
        </w:rPr>
      </w:pPr>
      <w:r w:rsidRPr="00AD74DC">
        <w:rPr>
          <w:rFonts w:ascii="Times New Roman" w:hAnsi="Times New Roman" w:cs="Times New Roman"/>
        </w:rPr>
        <w:t xml:space="preserve">Обґрунтування бюджетного призначення. Відповідно до кошторису Держмитслужби розмір бюджетного призначення складає 5 400,00 тис. грн (п’ять мільйонів чотириста тисяч гривень 00 </w:t>
      </w:r>
      <w:proofErr w:type="spellStart"/>
      <w:r w:rsidRPr="00AD74DC">
        <w:rPr>
          <w:rFonts w:ascii="Times New Roman" w:hAnsi="Times New Roman" w:cs="Times New Roman"/>
        </w:rPr>
        <w:t>коп</w:t>
      </w:r>
      <w:proofErr w:type="spellEnd"/>
      <w:r w:rsidRPr="00AD74DC">
        <w:rPr>
          <w:rFonts w:ascii="Times New Roman" w:hAnsi="Times New Roman" w:cs="Times New Roman"/>
        </w:rPr>
        <w:t>).</w:t>
      </w:r>
    </w:p>
    <w:p w:rsidR="00AD74DC" w:rsidRPr="00AD74DC" w:rsidRDefault="00AD74DC" w:rsidP="00AD74DC">
      <w:pPr>
        <w:pStyle w:val="a6"/>
        <w:keepNext/>
        <w:numPr>
          <w:ilvl w:val="0"/>
          <w:numId w:val="6"/>
        </w:numPr>
        <w:spacing w:before="0"/>
        <w:rPr>
          <w:rFonts w:ascii="Times New Roman" w:hAnsi="Times New Roman" w:cs="Times New Roman"/>
          <w:b/>
        </w:rPr>
      </w:pPr>
      <w:r w:rsidRPr="00AD74DC">
        <w:rPr>
          <w:rFonts w:ascii="Times New Roman" w:hAnsi="Times New Roman" w:cs="Times New Roman"/>
        </w:rPr>
        <w:t xml:space="preserve">Очікувана вартість предмета закупівлі. Очікувана вартість предмета закупівлі визначалась на підставі трьох отриманих комерційних пропозицій від компаній, які знаходяться на сайті </w:t>
      </w:r>
      <w:proofErr w:type="spellStart"/>
      <w:r w:rsidRPr="00AD74DC">
        <w:rPr>
          <w:rFonts w:ascii="Times New Roman" w:hAnsi="Times New Roman" w:cs="Times New Roman"/>
        </w:rPr>
        <w:t>Держспецзв’язку</w:t>
      </w:r>
      <w:proofErr w:type="spellEnd"/>
      <w:r w:rsidRPr="00AD74DC">
        <w:rPr>
          <w:rFonts w:ascii="Times New Roman" w:hAnsi="Times New Roman" w:cs="Times New Roman"/>
        </w:rPr>
        <w:t xml:space="preserve"> за посиланням https://cip.gov.ua/ua/news/ocinyuvannya-zakhishenosti-informaciyi-sho-ne-stanovit-derzhavnoyi-tayemnici та мають чинну ліцензію на послуги з оцінювання захищеності інформації, що не становить державної таємниці,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AD74DC" w:rsidRPr="00AD74DC" w:rsidRDefault="00AD74DC" w:rsidP="00AD74DC">
      <w:pPr>
        <w:jc w:val="both"/>
        <w:rPr>
          <w:rFonts w:cs="Times New Roman"/>
          <w:szCs w:val="28"/>
        </w:rPr>
      </w:pPr>
      <w:r w:rsidRPr="00AD74DC">
        <w:rPr>
          <w:rFonts w:cs="Times New Roman"/>
          <w:szCs w:val="28"/>
        </w:rPr>
        <w:t>Ц1 – 9 984,00 тис. грн (лист ТОВ «ВЕБ ПРО» від 21.08.2023 № 2023/08-2),</w:t>
      </w:r>
    </w:p>
    <w:p w:rsidR="00AD74DC" w:rsidRPr="00AD74DC" w:rsidRDefault="00AD74DC" w:rsidP="00AD74DC">
      <w:pPr>
        <w:jc w:val="both"/>
        <w:rPr>
          <w:rFonts w:cs="Times New Roman"/>
          <w:szCs w:val="28"/>
        </w:rPr>
      </w:pPr>
      <w:r w:rsidRPr="00AD74DC">
        <w:rPr>
          <w:rFonts w:cs="Times New Roman"/>
          <w:szCs w:val="28"/>
        </w:rPr>
        <w:t>Ц2 – 6 300,00 тис. грн (лист АТ «ІІТ» від 22.08.2023 № 228-223/24),</w:t>
      </w:r>
    </w:p>
    <w:p w:rsidR="00AD74DC" w:rsidRPr="00AD74DC" w:rsidRDefault="00AD74DC" w:rsidP="00AD74DC">
      <w:pPr>
        <w:jc w:val="both"/>
        <w:rPr>
          <w:rFonts w:cs="Times New Roman"/>
          <w:szCs w:val="28"/>
        </w:rPr>
      </w:pPr>
      <w:r w:rsidRPr="00AD74DC">
        <w:rPr>
          <w:rFonts w:cs="Times New Roman"/>
          <w:szCs w:val="28"/>
        </w:rPr>
        <w:t>Ц3 – 4 900,00 тис. грн (лист НДІ «</w:t>
      </w:r>
      <w:proofErr w:type="spellStart"/>
      <w:r w:rsidRPr="00AD74DC">
        <w:rPr>
          <w:rFonts w:cs="Times New Roman"/>
          <w:szCs w:val="28"/>
        </w:rPr>
        <w:t>Автопром</w:t>
      </w:r>
      <w:proofErr w:type="spellEnd"/>
      <w:r w:rsidRPr="00AD74DC">
        <w:rPr>
          <w:rFonts w:cs="Times New Roman"/>
          <w:szCs w:val="28"/>
        </w:rPr>
        <w:t>» від 24.08.2023 № 89),</w:t>
      </w:r>
    </w:p>
    <w:p w:rsidR="00AD74DC" w:rsidRPr="00AD74DC" w:rsidRDefault="00AD74DC" w:rsidP="00AD74DC">
      <w:pPr>
        <w:jc w:val="both"/>
        <w:rPr>
          <w:rFonts w:cs="Times New Roman"/>
          <w:szCs w:val="28"/>
        </w:rPr>
      </w:pPr>
      <w:r w:rsidRPr="00AD74DC">
        <w:rPr>
          <w:rFonts w:cs="Times New Roman"/>
          <w:szCs w:val="28"/>
        </w:rPr>
        <w:t>ОВ – очікувана вартість.</w:t>
      </w:r>
    </w:p>
    <w:p w:rsidR="00AD74DC" w:rsidRPr="00AD74DC" w:rsidRDefault="00AD74DC" w:rsidP="00AD74DC">
      <w:pPr>
        <w:jc w:val="both"/>
        <w:rPr>
          <w:rFonts w:cs="Times New Roman"/>
          <w:szCs w:val="28"/>
          <w:lang w:val="x-none"/>
        </w:rPr>
      </w:pPr>
      <w:r w:rsidRPr="00AD74DC">
        <w:rPr>
          <w:rFonts w:cs="Times New Roman"/>
          <w:szCs w:val="28"/>
        </w:rPr>
        <w:t>ОВ = (Ц1+Ц2+Ц3)/3 = (9984+6300+4900)/3 = 7 061,33 тис. грн.</w:t>
      </w:r>
    </w:p>
    <w:p w:rsidR="0003718E" w:rsidRPr="00AD74DC" w:rsidRDefault="0003718E" w:rsidP="00AD74DC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</w:p>
    <w:sectPr w:rsidR="0003718E" w:rsidRPr="00AD7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993"/>
        </w:tabs>
        <w:ind w:left="-141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2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6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464A76"/>
    <w:rsid w:val="005527AD"/>
    <w:rsid w:val="007329CB"/>
    <w:rsid w:val="00733068"/>
    <w:rsid w:val="00761B57"/>
    <w:rsid w:val="0084248B"/>
    <w:rsid w:val="00860A1D"/>
    <w:rsid w:val="00984C2C"/>
    <w:rsid w:val="009B6ECD"/>
    <w:rsid w:val="00A238BF"/>
    <w:rsid w:val="00AD74DC"/>
    <w:rsid w:val="00B24970"/>
    <w:rsid w:val="00D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0EEA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2">
    <w:name w:val="Номер2"/>
    <w:basedOn w:val="a6"/>
    <w:qFormat/>
    <w:rsid w:val="00AD74DC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"/>
    <w:rsid w:val="00AD74DC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AD74DC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AD74DC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AD74DC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AD74DC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AD74DC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AD74DC"/>
    <w:pPr>
      <w:tabs>
        <w:tab w:val="clear" w:pos="3119"/>
        <w:tab w:val="num" w:pos="340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8741</Words>
  <Characters>4983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14</cp:revision>
  <cp:lastPrinted>2024-05-21T05:47:00Z</cp:lastPrinted>
  <dcterms:created xsi:type="dcterms:W3CDTF">2024-04-11T08:32:00Z</dcterms:created>
  <dcterms:modified xsi:type="dcterms:W3CDTF">2024-05-23T05:35:00Z</dcterms:modified>
</cp:coreProperties>
</file>