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26"/>
        <w:gridCol w:w="6203"/>
      </w:tblGrid>
      <w:tr w:rsidR="000C390F" w:rsidRPr="00F93D7D" w:rsidTr="00296828">
        <w:tc>
          <w:tcPr>
            <w:tcW w:w="9855" w:type="dxa"/>
            <w:gridSpan w:val="3"/>
          </w:tcPr>
          <w:p w:rsidR="000C390F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0C390F" w:rsidRPr="007B2528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90185F" w:rsidRPr="0090185F" w:rsidRDefault="0090185F" w:rsidP="0090185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0185F">
              <w:rPr>
                <w:rFonts w:ascii="Times New Roman" w:hAnsi="Times New Roman"/>
                <w:b/>
                <w:bCs/>
              </w:rPr>
              <w:t xml:space="preserve">Послуги з проведення енергетичного аудиту по адміністративному будинку виробничої бази митниці </w:t>
            </w:r>
          </w:p>
          <w:p w:rsidR="000C390F" w:rsidRPr="0090185F" w:rsidRDefault="0090185F" w:rsidP="0090185F">
            <w:pPr>
              <w:spacing w:after="0" w:line="240" w:lineRule="atLeast"/>
              <w:jc w:val="both"/>
              <w:rPr>
                <w:b/>
                <w:bCs/>
              </w:rPr>
            </w:pPr>
            <w:r w:rsidRPr="0090185F">
              <w:rPr>
                <w:rFonts w:ascii="Times New Roman" w:hAnsi="Times New Roman"/>
                <w:b/>
                <w:bCs/>
              </w:rPr>
              <w:t>за ДК 021:2015 код 71310000-4 Консультаційні послуги у галузях інженерії та будівництва</w:t>
            </w:r>
          </w:p>
        </w:tc>
      </w:tr>
      <w:tr w:rsidR="000C390F" w:rsidRPr="007B2528" w:rsidTr="0090185F">
        <w:trPr>
          <w:trHeight w:val="3680"/>
        </w:trPr>
        <w:tc>
          <w:tcPr>
            <w:tcW w:w="426" w:type="dxa"/>
          </w:tcPr>
          <w:p w:rsidR="000C390F" w:rsidRPr="007B2528" w:rsidRDefault="000C390F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0185F">
              <w:rPr>
                <w:rFonts w:ascii="Times New Roman" w:hAnsi="Times New Roman"/>
                <w:b/>
                <w:bCs/>
              </w:rPr>
              <w:t>Проведення енергетичного аудиту</w:t>
            </w:r>
            <w:r w:rsidRPr="0090185F">
              <w:rPr>
                <w:rFonts w:ascii="Times New Roman" w:hAnsi="Times New Roman"/>
                <w:b/>
                <w:color w:val="000000"/>
              </w:rPr>
              <w:t xml:space="preserve"> Об’єкту включає такі заходи: </w:t>
            </w:r>
          </w:p>
          <w:p w:rsidR="0090185F" w:rsidRPr="0090185F" w:rsidRDefault="0090185F" w:rsidP="009018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>Отримання всіх відповідних технічних даних про існуючий Об’єкт.</w:t>
            </w:r>
          </w:p>
          <w:p w:rsidR="0090185F" w:rsidRPr="0090185F" w:rsidRDefault="0090185F" w:rsidP="009018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>Розрахунок рівня енергетичної ефективності Об’єктів відповідно до вимог статті 5 Закону України «Про енергетичну ефективність будівель».</w:t>
            </w:r>
          </w:p>
          <w:p w:rsidR="0090185F" w:rsidRPr="0090185F" w:rsidRDefault="0090185F" w:rsidP="009018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 xml:space="preserve">Складання енергетичного сертифікату. </w:t>
            </w:r>
          </w:p>
          <w:p w:rsidR="0090185F" w:rsidRPr="0090185F" w:rsidRDefault="0090185F" w:rsidP="009018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>Реєстрація енергетичного сертифіката в Єдиній державній електронній системі у сфері будівництва.</w:t>
            </w:r>
          </w:p>
          <w:p w:rsidR="0090185F" w:rsidRPr="0090185F" w:rsidRDefault="0090185F" w:rsidP="009018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 xml:space="preserve">Представлення результатів Замовнику. 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>Енергетична ефективність Об’єктів повинна визначатись відповідно до методики, що розробляється з урахуванням вимог актів законодавства Європейського Союзу, Енергетичного Співтовариства, гармонізованих європейських стандартів у сфері енергетичної ефективності будівель та затверджується центральним органом виконавчої влади, що забезпечує формування державної політики у сфері будівництва.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 xml:space="preserve">До виконання Послуг повинні залучатись кваліфіковані працівники, які мають професійну атестацію </w:t>
            </w:r>
            <w:proofErr w:type="spellStart"/>
            <w:r w:rsidRPr="0090185F">
              <w:rPr>
                <w:rFonts w:ascii="Times New Roman" w:hAnsi="Times New Roman"/>
              </w:rPr>
              <w:t>енергоаудитора</w:t>
            </w:r>
            <w:proofErr w:type="spellEnd"/>
            <w:r w:rsidRPr="0090185F">
              <w:rPr>
                <w:rFonts w:ascii="Times New Roman" w:hAnsi="Times New Roman"/>
              </w:rPr>
              <w:t>.</w:t>
            </w:r>
          </w:p>
          <w:p w:rsidR="005E45EA" w:rsidRPr="005E45EA" w:rsidRDefault="005E45EA" w:rsidP="005E45E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</w:rPr>
            </w:pPr>
            <w:r w:rsidRPr="005E45EA">
              <w:rPr>
                <w:rFonts w:ascii="Times New Roman" w:hAnsi="Times New Roman"/>
              </w:rPr>
              <w:t xml:space="preserve">На всі прилади вимірювання, що будуть використані під час проведення енергетичного обстеження, мають бути документи з невичерпаним строком метрологічного сертифікату калібрування та/або метрологічного свідоцтва про повірку. </w:t>
            </w:r>
            <w:bookmarkStart w:id="0" w:name="_GoBack"/>
            <w:bookmarkEnd w:id="0"/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>Виконавець несе відповідальність за виконання вимог охорони праці, техніки безпеки, дорожнього руху транспортних засобів та пожежної безпеки на об’єктах та на території Замовника під час виконання Послуг.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90185F">
              <w:rPr>
                <w:rFonts w:ascii="Times New Roman" w:hAnsi="Times New Roman"/>
                <w:b/>
                <w:bCs/>
              </w:rPr>
              <w:t>вимоги до них: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90185F">
              <w:rPr>
                <w:rFonts w:ascii="Times New Roman" w:hAnsi="Times New Roman"/>
                <w:bCs/>
              </w:rPr>
              <w:t>1. Збір та обробка інформації про фактичні або проектні характеристики огороджувальних конструкцій та інженерних систем.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90185F">
              <w:rPr>
                <w:rFonts w:ascii="Times New Roman" w:hAnsi="Times New Roman"/>
                <w:bCs/>
              </w:rPr>
              <w:t>2. Оцінка відповідності розрахункового рівня енергетичної ефективності встановленим мінімальним вимогам до енергетичної ефективності.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90185F">
              <w:rPr>
                <w:rFonts w:ascii="Times New Roman" w:hAnsi="Times New Roman"/>
                <w:bCs/>
              </w:rPr>
              <w:t>3. Розроблення рекомендацій щодо підвищення рівня енергетичної ефективності.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90185F">
              <w:rPr>
                <w:rFonts w:ascii="Times New Roman" w:hAnsi="Times New Roman"/>
                <w:color w:val="000000"/>
              </w:rPr>
              <w:t xml:space="preserve">Інформація, яка необхідна для розрахунків показників енергетичної ефективності будівель, встановлюється на підставі проектної документації на будівлю згідно з вимогами ДБН А.2.2-3:2014 «Склад та зміст проектної документації на будівництво». </w:t>
            </w:r>
          </w:p>
          <w:p w:rsidR="0090185F" w:rsidRPr="0090185F" w:rsidRDefault="0090185F" w:rsidP="0090185F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90185F">
              <w:rPr>
                <w:rFonts w:ascii="Times New Roman" w:hAnsi="Times New Roman"/>
                <w:bCs/>
              </w:rPr>
              <w:t>У випадку відсутності проектної документації відповідні дані визначаються за результатами виявлення фактичного стану будівлі.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  <w:b/>
              </w:rPr>
            </w:pP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  <w:b/>
              </w:rPr>
            </w:pPr>
            <w:r w:rsidRPr="0090185F">
              <w:rPr>
                <w:rFonts w:ascii="Times New Roman" w:hAnsi="Times New Roman"/>
                <w:b/>
              </w:rPr>
              <w:t>У процесі визначення енергетичної ефективності Об’єктів обов’язково врахувати інформацію про: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>1)  місцеві кліматичні умови;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lastRenderedPageBreak/>
              <w:t xml:space="preserve">2) функціональне призначення, архітектурно-планувальне та конструктивне рішення </w:t>
            </w:r>
            <w:r w:rsidRPr="0090185F">
              <w:rPr>
                <w:rFonts w:ascii="Times New Roman" w:hAnsi="Times New Roman"/>
                <w:color w:val="000000"/>
              </w:rPr>
              <w:t>Об’єктів</w:t>
            </w:r>
            <w:r w:rsidRPr="0090185F">
              <w:rPr>
                <w:rFonts w:ascii="Times New Roman" w:hAnsi="Times New Roman"/>
              </w:rPr>
              <w:t>;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 xml:space="preserve">3) геометричні (враховуючи розташування та орієнтацію огороджувальних конструкцій), теплотехнічні та енергетичні характеристики </w:t>
            </w:r>
            <w:r w:rsidRPr="0090185F">
              <w:rPr>
                <w:rFonts w:ascii="Times New Roman" w:hAnsi="Times New Roman"/>
                <w:color w:val="000000"/>
              </w:rPr>
              <w:t>Об’єктів</w:t>
            </w:r>
            <w:r w:rsidRPr="0090185F">
              <w:rPr>
                <w:rFonts w:ascii="Times New Roman" w:hAnsi="Times New Roman"/>
              </w:rPr>
              <w:t xml:space="preserve">, а також енергетичний баланс </w:t>
            </w:r>
            <w:r w:rsidRPr="0090185F">
              <w:rPr>
                <w:rFonts w:ascii="Times New Roman" w:hAnsi="Times New Roman"/>
                <w:color w:val="000000"/>
              </w:rPr>
              <w:t>Об’єктів</w:t>
            </w:r>
            <w:r w:rsidRPr="0090185F">
              <w:rPr>
                <w:rFonts w:ascii="Times New Roman" w:hAnsi="Times New Roman"/>
              </w:rPr>
              <w:t>;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 xml:space="preserve">4) нормативні санітарно-гігієнічні та мікрокліматичні умови приміщень </w:t>
            </w:r>
            <w:r w:rsidRPr="0090185F">
              <w:rPr>
                <w:rFonts w:ascii="Times New Roman" w:hAnsi="Times New Roman"/>
                <w:color w:val="000000"/>
              </w:rPr>
              <w:t>Об’єктів</w:t>
            </w:r>
            <w:r w:rsidRPr="0090185F">
              <w:rPr>
                <w:rFonts w:ascii="Times New Roman" w:hAnsi="Times New Roman"/>
              </w:rPr>
              <w:t>;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>5) нормативний строк експлуатації огороджувальних конструкцій та елементів (у тому числі обладнання) інженерних систем;</w:t>
            </w:r>
          </w:p>
          <w:p w:rsidR="0090185F" w:rsidRPr="0090185F" w:rsidRDefault="0090185F" w:rsidP="009018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90185F">
              <w:rPr>
                <w:rFonts w:ascii="Times New Roman" w:hAnsi="Times New Roman"/>
              </w:rPr>
              <w:t>6) технічні характеристики інженерних систем;</w:t>
            </w:r>
          </w:p>
          <w:p w:rsidR="000C390F" w:rsidRPr="00315F57" w:rsidRDefault="0090185F" w:rsidP="0090185F">
            <w:pPr>
              <w:spacing w:after="0"/>
              <w:ind w:firstLine="567"/>
              <w:jc w:val="both"/>
            </w:pPr>
            <w:r w:rsidRPr="0090185F">
              <w:rPr>
                <w:rFonts w:ascii="Times New Roman" w:hAnsi="Times New Roman"/>
              </w:rPr>
              <w:t xml:space="preserve">7) використання відновлюваних джерел енергії, пасивних сонячних систем та систем захисту від сонця, а також енергії, виробленої шляхом </w:t>
            </w:r>
            <w:proofErr w:type="spellStart"/>
            <w:r w:rsidRPr="0090185F">
              <w:rPr>
                <w:rFonts w:ascii="Times New Roman" w:hAnsi="Times New Roman"/>
              </w:rPr>
              <w:t>когенерації</w:t>
            </w:r>
            <w:proofErr w:type="spellEnd"/>
            <w:r w:rsidRPr="0090185F">
              <w:rPr>
                <w:rFonts w:ascii="Times New Roman" w:hAnsi="Times New Roman"/>
              </w:rPr>
              <w:t>.</w:t>
            </w:r>
          </w:p>
        </w:tc>
      </w:tr>
      <w:tr w:rsidR="000C390F" w:rsidRPr="008022D2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0C390F" w:rsidRPr="00C85777" w:rsidRDefault="000C390F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90185F">
              <w:rPr>
                <w:rFonts w:ascii="Times New Roman" w:hAnsi="Times New Roman"/>
                <w:sz w:val="24"/>
                <w:szCs w:val="24"/>
              </w:rPr>
              <w:t xml:space="preserve"> 15 000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:rsidR="000C390F" w:rsidRPr="00C85777" w:rsidRDefault="000C390F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>о</w:t>
            </w:r>
            <w:r w:rsidR="0090185F">
              <w:t>го призначення становить 15 000</w:t>
            </w:r>
            <w:r w:rsidRPr="00C85777">
              <w:t>, 00 грн.</w:t>
            </w:r>
          </w:p>
        </w:tc>
      </w:tr>
    </w:tbl>
    <w:p w:rsidR="000C390F" w:rsidRDefault="000C390F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Pr="007B2528" w:rsidRDefault="000C390F" w:rsidP="005212DB">
      <w:pPr>
        <w:pStyle w:val="a3"/>
        <w:spacing w:after="0" w:afterAutospacing="0"/>
        <w:rPr>
          <w:b/>
          <w:sz w:val="20"/>
          <w:szCs w:val="20"/>
        </w:rPr>
      </w:pPr>
    </w:p>
    <w:sectPr w:rsidR="000C390F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B25239D"/>
    <w:multiLevelType w:val="hybridMultilevel"/>
    <w:tmpl w:val="4C90B8DA"/>
    <w:lvl w:ilvl="0" w:tplc="00A2904C">
      <w:start w:val="10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30C1B"/>
    <w:multiLevelType w:val="hybridMultilevel"/>
    <w:tmpl w:val="1FC2A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5734"/>
    <w:multiLevelType w:val="hybridMultilevel"/>
    <w:tmpl w:val="E3DC0958"/>
    <w:lvl w:ilvl="0" w:tplc="414C6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23882"/>
    <w:multiLevelType w:val="hybridMultilevel"/>
    <w:tmpl w:val="E7E85BB6"/>
    <w:lvl w:ilvl="0" w:tplc="7952C430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71F6A"/>
    <w:multiLevelType w:val="multilevel"/>
    <w:tmpl w:val="B254E2B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20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0"/>
  </w:num>
  <w:num w:numId="10">
    <w:abstractNumId w:val="17"/>
  </w:num>
  <w:num w:numId="11">
    <w:abstractNumId w:val="19"/>
  </w:num>
  <w:num w:numId="12">
    <w:abstractNumId w:val="3"/>
  </w:num>
  <w:num w:numId="13">
    <w:abstractNumId w:val="8"/>
  </w:num>
  <w:num w:numId="14">
    <w:abstractNumId w:val="3"/>
  </w:num>
  <w:num w:numId="15">
    <w:abstractNumId w:val="15"/>
  </w:num>
  <w:num w:numId="16">
    <w:abstractNumId w:val="12"/>
  </w:num>
  <w:num w:numId="17">
    <w:abstractNumId w:val="11"/>
  </w:num>
  <w:num w:numId="18">
    <w:abstractNumId w:val="4"/>
  </w:num>
  <w:num w:numId="19">
    <w:abstractNumId w:val="21"/>
  </w:num>
  <w:num w:numId="20">
    <w:abstractNumId w:val="14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96828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15F57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212DB"/>
    <w:rsid w:val="005402D8"/>
    <w:rsid w:val="00564F24"/>
    <w:rsid w:val="005A15B8"/>
    <w:rsid w:val="005D3017"/>
    <w:rsid w:val="005E45EA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A39E5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185F"/>
    <w:rsid w:val="009048F0"/>
    <w:rsid w:val="00905F50"/>
    <w:rsid w:val="009060BF"/>
    <w:rsid w:val="0095029B"/>
    <w:rsid w:val="00952742"/>
    <w:rsid w:val="00952A7E"/>
    <w:rsid w:val="00963ADA"/>
    <w:rsid w:val="00966A2F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D449F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2312C"/>
    <w:rsid w:val="00C4675C"/>
    <w:rsid w:val="00C513DB"/>
    <w:rsid w:val="00C565B7"/>
    <w:rsid w:val="00C625A9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7F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724B0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,List Paragraph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,List Paragraph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2</cp:revision>
  <cp:lastPrinted>2023-09-20T08:48:00Z</cp:lastPrinted>
  <dcterms:created xsi:type="dcterms:W3CDTF">2024-05-24T05:26:00Z</dcterms:created>
  <dcterms:modified xsi:type="dcterms:W3CDTF">2024-05-24T05:26:00Z</dcterms:modified>
</cp:coreProperties>
</file>