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Pr="000070DA" w:rsidRDefault="0003718E" w:rsidP="0003718E">
      <w:pPr>
        <w:jc w:val="center"/>
        <w:rPr>
          <w:rFonts w:eastAsia="Times New Roman" w:cs="Times New Roman"/>
          <w:sz w:val="24"/>
          <w:szCs w:val="24"/>
          <w:lang w:eastAsia="uk-UA"/>
        </w:rPr>
      </w:pPr>
      <w:r w:rsidRPr="000070DA">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w:t>
      </w:r>
      <w:r>
        <w:rPr>
          <w:rFonts w:eastAsia="Times New Roman" w:cs="Times New Roman"/>
          <w:color w:val="000000"/>
          <w:sz w:val="24"/>
          <w:szCs w:val="24"/>
          <w:lang w:eastAsia="uk-UA"/>
        </w:rPr>
        <w:t xml:space="preserve"> </w:t>
      </w:r>
      <w:r w:rsidRPr="000070DA">
        <w:rPr>
          <w:rFonts w:eastAsia="Times New Roman" w:cs="Times New Roman"/>
          <w:color w:val="000000"/>
          <w:sz w:val="24"/>
          <w:szCs w:val="24"/>
          <w:lang w:eastAsia="uk-UA"/>
        </w:rPr>
        <w:t>ПРЕДМЕТА ЗАКУПІВЛІ</w:t>
      </w:r>
    </w:p>
    <w:p w:rsidR="005527AD" w:rsidRPr="002B4A84" w:rsidRDefault="005527AD" w:rsidP="005527AD">
      <w:pPr>
        <w:spacing w:before="100" w:beforeAutospacing="1" w:after="100" w:afterAutospacing="1"/>
        <w:jc w:val="both"/>
        <w:rPr>
          <w:rStyle w:val="a5"/>
          <w:bCs/>
          <w:sz w:val="20"/>
          <w:szCs w:val="20"/>
        </w:rPr>
      </w:pPr>
      <w:r w:rsidRPr="002B4A84">
        <w:rPr>
          <w:rStyle w:val="a5"/>
          <w:bCs/>
          <w:sz w:val="20"/>
          <w:szCs w:val="20"/>
        </w:rPr>
        <w:t>(оприлюднюється на виконання постанови КМУ № 710 від 11.10.2016 «Про ефективне використання державних коштів» (зі змінами))</w:t>
      </w:r>
    </w:p>
    <w:p w:rsidR="005527AD" w:rsidRPr="007E6D2F" w:rsidRDefault="005527AD" w:rsidP="005527AD">
      <w:pPr>
        <w:spacing w:before="100" w:beforeAutospacing="1" w:after="100" w:afterAutospacing="1"/>
        <w:jc w:val="both"/>
        <w:rPr>
          <w:rFonts w:eastAsia="Times New Roman"/>
          <w:b/>
          <w:i/>
          <w:color w:val="000000"/>
          <w:sz w:val="20"/>
          <w:szCs w:val="20"/>
          <w:u w:val="single"/>
          <w:lang w:eastAsia="uk-UA"/>
        </w:rPr>
      </w:pPr>
      <w:r w:rsidRPr="00F358F7">
        <w:rPr>
          <w:rStyle w:val="a5"/>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7E6D2F">
        <w:rPr>
          <w:rStyle w:val="a5"/>
          <w:b/>
          <w:bCs/>
          <w:sz w:val="20"/>
          <w:szCs w:val="20"/>
          <w:u w:val="single"/>
        </w:rPr>
        <w:t>Держмитслужба м. Київ , вул. Дегтярівська, 11г, ЄДРПОУ 43115923.</w:t>
      </w:r>
    </w:p>
    <w:p w:rsidR="005527AD" w:rsidRPr="00484A35" w:rsidRDefault="005527AD" w:rsidP="005527AD">
      <w:pPr>
        <w:widowControl w:val="0"/>
        <w:jc w:val="both"/>
        <w:rPr>
          <w:sz w:val="24"/>
          <w:szCs w:val="24"/>
        </w:rPr>
      </w:pPr>
      <w:r w:rsidRPr="00484A35">
        <w:rPr>
          <w:b/>
          <w:sz w:val="24"/>
          <w:szCs w:val="24"/>
        </w:rPr>
        <w:t>Вид та ідентифікатор процедури закупівлі</w:t>
      </w:r>
      <w:r w:rsidRPr="00DC7F85">
        <w:rPr>
          <w:b/>
          <w:bCs/>
          <w:sz w:val="24"/>
          <w:szCs w:val="24"/>
        </w:rPr>
        <w:t>:</w:t>
      </w:r>
      <w:r w:rsidRPr="00DC7F85">
        <w:rPr>
          <w:sz w:val="24"/>
          <w:szCs w:val="24"/>
        </w:rPr>
        <w:t xml:space="preserve"> </w:t>
      </w:r>
      <w:r w:rsidRPr="00DC7F85">
        <w:rPr>
          <w:sz w:val="24"/>
          <w:szCs w:val="24"/>
          <w:u w:val="single"/>
          <w:lang w:val="en-US"/>
        </w:rPr>
        <w:t>UA</w:t>
      </w:r>
      <w:r w:rsidRPr="00DC7F85">
        <w:rPr>
          <w:sz w:val="24"/>
          <w:szCs w:val="24"/>
          <w:u w:val="single"/>
          <w:lang w:val="ru-RU"/>
        </w:rPr>
        <w:t>-2024-</w:t>
      </w:r>
      <w:r w:rsidR="00426EED">
        <w:rPr>
          <w:sz w:val="24"/>
          <w:szCs w:val="24"/>
          <w:u w:val="single"/>
          <w:lang w:val="ru-RU"/>
        </w:rPr>
        <w:t>06</w:t>
      </w:r>
      <w:r w:rsidRPr="00DC7F85">
        <w:rPr>
          <w:sz w:val="24"/>
          <w:szCs w:val="24"/>
          <w:u w:val="single"/>
          <w:lang w:val="ru-RU"/>
        </w:rPr>
        <w:t>-</w:t>
      </w:r>
      <w:r w:rsidR="00426EED">
        <w:rPr>
          <w:sz w:val="24"/>
          <w:szCs w:val="24"/>
          <w:u w:val="single"/>
        </w:rPr>
        <w:t>10</w:t>
      </w:r>
      <w:r w:rsidRPr="00DC7F85">
        <w:rPr>
          <w:sz w:val="24"/>
          <w:szCs w:val="24"/>
          <w:u w:val="single"/>
          <w:lang w:val="ru-RU"/>
        </w:rPr>
        <w:t>-</w:t>
      </w:r>
      <w:r w:rsidR="00426EED">
        <w:rPr>
          <w:sz w:val="24"/>
          <w:szCs w:val="24"/>
          <w:u w:val="single"/>
          <w:lang w:val="ru-RU"/>
        </w:rPr>
        <w:t>010912</w:t>
      </w:r>
      <w:r w:rsidRPr="00DC7F85">
        <w:rPr>
          <w:sz w:val="24"/>
          <w:szCs w:val="24"/>
          <w:u w:val="single"/>
          <w:lang w:val="ru-RU"/>
        </w:rPr>
        <w:t>-</w:t>
      </w:r>
      <w:r w:rsidRPr="00DC7F85">
        <w:rPr>
          <w:sz w:val="24"/>
          <w:szCs w:val="24"/>
          <w:u w:val="single"/>
          <w:lang w:val="en-US"/>
        </w:rPr>
        <w:t>a</w:t>
      </w:r>
      <w:r w:rsidRPr="00DC7F85">
        <w:rPr>
          <w:sz w:val="24"/>
          <w:szCs w:val="24"/>
          <w:u w:val="single"/>
        </w:rPr>
        <w:t xml:space="preserve"> </w:t>
      </w:r>
      <w:r w:rsidRPr="00DC7F85">
        <w:rPr>
          <w:sz w:val="24"/>
          <w:szCs w:val="24"/>
        </w:rPr>
        <w:t>.</w:t>
      </w:r>
    </w:p>
    <w:p w:rsidR="0003718E" w:rsidRDefault="0003718E" w:rsidP="0003718E"/>
    <w:p w:rsidR="0003718E" w:rsidRDefault="0003718E" w:rsidP="0003718E">
      <w:pPr>
        <w:pStyle w:val="a3"/>
        <w:numPr>
          <w:ilvl w:val="0"/>
          <w:numId w:val="2"/>
        </w:numPr>
        <w:ind w:left="0" w:firstLine="426"/>
        <w:jc w:val="both"/>
        <w:rPr>
          <w:rFonts w:cs="Times New Roman"/>
          <w:sz w:val="24"/>
          <w:szCs w:val="24"/>
        </w:rPr>
      </w:pPr>
      <w:r w:rsidRPr="009D0146">
        <w:rPr>
          <w:rFonts w:cs="Times New Roman"/>
          <w:sz w:val="24"/>
          <w:szCs w:val="24"/>
        </w:rPr>
        <w:t xml:space="preserve">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w:t>
      </w:r>
      <w:proofErr w:type="spellStart"/>
      <w:r w:rsidRPr="009D0146">
        <w:rPr>
          <w:rFonts w:cs="Times New Roman"/>
          <w:sz w:val="24"/>
          <w:szCs w:val="24"/>
        </w:rPr>
        <w:t>закупівель</w:t>
      </w:r>
      <w:proofErr w:type="spellEnd"/>
      <w:r w:rsidRPr="009D0146">
        <w:rPr>
          <w:rFonts w:cs="Times New Roman"/>
          <w:sz w:val="24"/>
          <w:szCs w:val="24"/>
        </w:rPr>
        <w:t xml:space="preserve"> в Дер</w:t>
      </w:r>
      <w:r>
        <w:rPr>
          <w:rFonts w:cs="Times New Roman"/>
          <w:sz w:val="24"/>
          <w:szCs w:val="24"/>
        </w:rPr>
        <w:t>жавній митній службі України)).</w:t>
      </w:r>
    </w:p>
    <w:p w:rsidR="009B6ECD" w:rsidRDefault="009B6ECD" w:rsidP="009B6ECD">
      <w:pPr>
        <w:pStyle w:val="a3"/>
        <w:tabs>
          <w:tab w:val="left" w:pos="9072"/>
        </w:tabs>
        <w:ind w:left="0"/>
        <w:jc w:val="both"/>
        <w:rPr>
          <w:rFonts w:cs="Times New Roman"/>
          <w:sz w:val="24"/>
          <w:szCs w:val="24"/>
          <w:lang w:eastAsia="zh-CN"/>
        </w:rPr>
      </w:pPr>
    </w:p>
    <w:p w:rsidR="009B6ECD" w:rsidRPr="009B6ECD" w:rsidRDefault="00426EED" w:rsidP="00426EED">
      <w:pPr>
        <w:ind w:firstLine="426"/>
        <w:jc w:val="both"/>
        <w:rPr>
          <w:rFonts w:cs="Times New Roman"/>
          <w:sz w:val="24"/>
          <w:szCs w:val="24"/>
        </w:rPr>
      </w:pPr>
      <w:r>
        <w:rPr>
          <w:rFonts w:eastAsia="Times New Roman"/>
          <w:color w:val="000000"/>
        </w:rPr>
        <w:t>П</w:t>
      </w:r>
      <w:r w:rsidRPr="00A40E99">
        <w:rPr>
          <w:rFonts w:eastAsia="Times New Roman"/>
          <w:color w:val="000000"/>
        </w:rPr>
        <w:t>ослуги із проведення державної експертизи комплексної системи захисту інформації на автоматизованих робочих місцях користувачів інтегрованої міжвідомчої інформаційно-телекомунікаційної системи щодо контролю осіб, транспортних засобів та вантажів, які перетинають державний кордон України,</w:t>
      </w:r>
      <w:r w:rsidRPr="00A40E99">
        <w:t xml:space="preserve"> за</w:t>
      </w:r>
      <w:r>
        <w:t xml:space="preserve"> </w:t>
      </w:r>
      <w:r w:rsidRPr="00A40E99">
        <w:t>кодом ДК 021:2015: 72</w:t>
      </w:r>
      <w:r w:rsidRPr="00A40E99">
        <w:rPr>
          <w:lang w:val="ru-RU"/>
        </w:rPr>
        <w:t>22</w:t>
      </w:r>
      <w:r w:rsidRPr="00A40E99">
        <w:t>0000-</w:t>
      </w:r>
      <w:r w:rsidRPr="00A40E99">
        <w:rPr>
          <w:lang w:val="ru-RU"/>
        </w:rPr>
        <w:t>3</w:t>
      </w:r>
      <w:r w:rsidRPr="00A40E99">
        <w:t xml:space="preserve"> (Консультаційні послуги з питань систем та з технічних питань)</w:t>
      </w:r>
    </w:p>
    <w:p w:rsidR="0003718E" w:rsidRDefault="0003718E" w:rsidP="0003718E">
      <w:pPr>
        <w:pStyle w:val="a3"/>
        <w:numPr>
          <w:ilvl w:val="0"/>
          <w:numId w:val="2"/>
        </w:numPr>
        <w:ind w:left="0" w:firstLine="426"/>
        <w:jc w:val="both"/>
        <w:rPr>
          <w:rFonts w:cs="Times New Roman"/>
          <w:sz w:val="24"/>
          <w:szCs w:val="24"/>
        </w:rPr>
      </w:pPr>
      <w:r w:rsidRPr="009D0146">
        <w:rPr>
          <w:rFonts w:cs="Times New Roman"/>
          <w:sz w:val="24"/>
          <w:szCs w:val="24"/>
        </w:rPr>
        <w:t>Обґрунтування доцільності закупівлі (чим зумовлена необхідність закупівлі, мета закупівлі, посилання на вимоги чинного законодавства)</w:t>
      </w:r>
      <w:r>
        <w:rPr>
          <w:rFonts w:cs="Times New Roman"/>
          <w:sz w:val="24"/>
          <w:szCs w:val="24"/>
        </w:rPr>
        <w:t>.</w:t>
      </w:r>
    </w:p>
    <w:p w:rsidR="0003718E" w:rsidRDefault="0003718E" w:rsidP="0003718E">
      <w:pPr>
        <w:ind w:firstLine="426"/>
        <w:jc w:val="both"/>
        <w:rPr>
          <w:sz w:val="24"/>
          <w:szCs w:val="24"/>
        </w:rPr>
      </w:pPr>
    </w:p>
    <w:p w:rsidR="0003718E" w:rsidRPr="00862D15" w:rsidRDefault="0003718E" w:rsidP="0003718E">
      <w:pPr>
        <w:ind w:firstLine="426"/>
        <w:jc w:val="both"/>
        <w:rPr>
          <w:sz w:val="24"/>
          <w:szCs w:val="24"/>
        </w:rPr>
      </w:pPr>
    </w:p>
    <w:p w:rsidR="00426EED" w:rsidRPr="00224CC2" w:rsidRDefault="00426EED" w:rsidP="00426EED">
      <w:pPr>
        <w:pStyle w:val="ab"/>
        <w:ind w:firstLine="927"/>
        <w:rPr>
          <w:rFonts w:eastAsiaTheme="minorHAnsi"/>
        </w:rPr>
      </w:pPr>
      <w:r>
        <w:rPr>
          <w:b/>
        </w:rPr>
        <w:t>2.1.</w:t>
      </w:r>
      <w:r>
        <w:rPr>
          <w:b/>
        </w:rPr>
        <w:t>Правове забезпечення</w:t>
      </w:r>
      <w:r w:rsidRPr="00224CC2">
        <w:rPr>
          <w:b/>
        </w:rPr>
        <w:t xml:space="preserve">. </w:t>
      </w:r>
      <w:r>
        <w:t xml:space="preserve">Закупівля проводиться відповідно до вимог </w:t>
      </w:r>
      <w:bookmarkStart w:id="0" w:name="_GoBack"/>
      <w:r>
        <w:t xml:space="preserve">статті 8 Закону України «Про захист інформації в інформаційно-комунікаційних системах», статті 24 Закону України «Про захист персональних даних», пункту «6. Підвищення інформаційної безпеки» Національної економічної стратегії на період до 2030 року, затвердженої постановою Кабінету Міністрів України </w:t>
      </w:r>
      <w:r>
        <w:br/>
        <w:t xml:space="preserve">від 3 березня 2021 року № 179,  Постанови Кабінету Міністрів України </w:t>
      </w:r>
      <w:r w:rsidRPr="00224CC2">
        <w:rPr>
          <w:rFonts w:eastAsiaTheme="minorHAnsi"/>
        </w:rPr>
        <w:t xml:space="preserve">Про затвердження Правил забезпечення захисту інформації в інформаційних, електронних комунікаційних та інформаційно-комунікаційних системах </w:t>
      </w:r>
      <w:r>
        <w:rPr>
          <w:rFonts w:eastAsiaTheme="minorHAnsi"/>
        </w:rPr>
        <w:br/>
      </w:r>
      <w:r>
        <w:t xml:space="preserve">від </w:t>
      </w:r>
      <w:r w:rsidRPr="00224CC2">
        <w:rPr>
          <w:rFonts w:eastAsiaTheme="minorHAnsi"/>
        </w:rPr>
        <w:t>29 березня 2006 року № 373,</w:t>
      </w:r>
      <w:r>
        <w:rPr>
          <w:rFonts w:eastAsiaTheme="minorHAnsi"/>
        </w:rPr>
        <w:t xml:space="preserve"> </w:t>
      </w:r>
      <w:r>
        <w:t xml:space="preserve">пункту «3.5. Захист електронних інформаційних ресурсів митних органів відповідно до законодавства про захист інформації в інформаційно-комунікаційних системах та про забезпечення </w:t>
      </w:r>
      <w:proofErr w:type="spellStart"/>
      <w:r>
        <w:t>кібербезпеки</w:t>
      </w:r>
      <w:proofErr w:type="spellEnd"/>
      <w:r>
        <w:t xml:space="preserve">» Плану роботи Державної митної служби України на 2024 рік, затвердженого Міністром фінансів України 16 травня 2024 року, розділу </w:t>
      </w:r>
      <w:r w:rsidRPr="00224CC2">
        <w:rPr>
          <w:lang w:val="en-US"/>
        </w:rPr>
        <w:t>V</w:t>
      </w:r>
      <w:r>
        <w:t xml:space="preserve"> Договору про порядок інформаційної взаємодії між Адміністрацією Державної прикордонної служби України та Державною митною службою України від 28 липня 2021 року № 4-21/18.</w:t>
      </w:r>
    </w:p>
    <w:bookmarkEnd w:id="0"/>
    <w:p w:rsidR="00426EED" w:rsidRDefault="00426EED" w:rsidP="00426EED">
      <w:pPr>
        <w:pStyle w:val="ab"/>
      </w:pPr>
      <w:r w:rsidRPr="00196902">
        <w:rPr>
          <w:b/>
        </w:rPr>
        <w:t>Обґрунтування закупівлі</w:t>
      </w:r>
      <w:r>
        <w:rPr>
          <w:b/>
        </w:rPr>
        <w:t>.</w:t>
      </w:r>
      <w:r>
        <w:t xml:space="preserve"> Для отримання доступу до інформації, яка знаходиться в інтегрованій міжвідомчій інформаційно - телекомунікаційній системі щодо контролю осіб, транспортних засобів та вантажів, які перетинають державний кордон України (далі – система «Аркан») в Держмитслужбі розгорнуто 2 (два) автоматизованих робочих місця (далі – АРМ). Відповідно до технічного завдання, погодженого з адміністраціями </w:t>
      </w:r>
      <w:proofErr w:type="spellStart"/>
      <w:r>
        <w:t>Держприкордонслужби</w:t>
      </w:r>
      <w:proofErr w:type="spellEnd"/>
      <w:r>
        <w:t xml:space="preserve"> та </w:t>
      </w:r>
      <w:proofErr w:type="spellStart"/>
      <w:r>
        <w:lastRenderedPageBreak/>
        <w:t>Держспецзв’язку</w:t>
      </w:r>
      <w:proofErr w:type="spellEnd"/>
      <w:r>
        <w:t>, і затвердженого в Держмитслужбі, у визначених компонентах автоматизованої системи класу «3» системи «Аркан» створено КСЗІ.</w:t>
      </w:r>
    </w:p>
    <w:p w:rsidR="00426EED" w:rsidRDefault="00426EED" w:rsidP="00426EED">
      <w:pPr>
        <w:pStyle w:val="ab"/>
      </w:pPr>
      <w:r>
        <w:t xml:space="preserve">Згідно із листом Адміністрації </w:t>
      </w:r>
      <w:proofErr w:type="spellStart"/>
      <w:r>
        <w:t>Держспецзв’язку</w:t>
      </w:r>
      <w:proofErr w:type="spellEnd"/>
      <w:r>
        <w:t xml:space="preserve"> від 22.11.2023 </w:t>
      </w:r>
      <w:r>
        <w:br/>
        <w:t>№ 04/05/03-3321ДСК/ВС1 для отримання підтвердження відповідності комплексної системи захисту інформації (далі – КСЗІ) АРМ системи «Аркан» відповідно до вимог нормативних документів з технічного захисту інформації (далі – ТЗІ) та технічного завдання необхідно ініціювати проведення державної експертизи шляхом експертних випробувань.</w:t>
      </w:r>
    </w:p>
    <w:p w:rsidR="00426EED" w:rsidRPr="00510A72" w:rsidRDefault="00426EED" w:rsidP="00426EED">
      <w:pPr>
        <w:pStyle w:val="ab"/>
      </w:pPr>
      <w:r>
        <w:t>З</w:t>
      </w:r>
      <w:r w:rsidRPr="00EF4310">
        <w:t xml:space="preserve">а результатами проведення експертизи </w:t>
      </w:r>
      <w:r>
        <w:t xml:space="preserve">отримуються зареєстровані в Адміністрації </w:t>
      </w:r>
      <w:proofErr w:type="spellStart"/>
      <w:r>
        <w:t>Держспецзв’язку</w:t>
      </w:r>
      <w:proofErr w:type="spellEnd"/>
      <w:r>
        <w:t xml:space="preserve"> </w:t>
      </w:r>
      <w:r w:rsidRPr="00EF4310">
        <w:t>атестат</w:t>
      </w:r>
      <w:r>
        <w:t>и</w:t>
      </w:r>
      <w:r w:rsidRPr="00EF4310">
        <w:t xml:space="preserve"> відповідності </w:t>
      </w:r>
      <w:r w:rsidRPr="00510A72">
        <w:t>КСЗІ вимогам нормативних документів з ТЗІ.</w:t>
      </w:r>
    </w:p>
    <w:p w:rsidR="00426EED" w:rsidRDefault="00426EED" w:rsidP="00426EED">
      <w:pPr>
        <w:pStyle w:val="ab"/>
      </w:pPr>
      <w:r w:rsidRPr="00FC2D33">
        <w:rPr>
          <w:b/>
        </w:rPr>
        <w:t>Обґрунтування технічних та якісних характеристик</w:t>
      </w:r>
      <w:r>
        <w:t>. Д</w:t>
      </w:r>
      <w:r w:rsidRPr="00934052">
        <w:t>ержавн</w:t>
      </w:r>
      <w:r>
        <w:t>а</w:t>
      </w:r>
      <w:r w:rsidRPr="00934052">
        <w:t xml:space="preserve"> експертиз</w:t>
      </w:r>
      <w:r>
        <w:t>а</w:t>
      </w:r>
      <w:r w:rsidRPr="00934052">
        <w:t xml:space="preserve"> у сфері </w:t>
      </w:r>
      <w:r>
        <w:t>ТЗІ проводиться в порядку, визначеному Положенням про державну експертизу у сфері технічного захисту інформації, затвердженим наказом Адміністрації Державної служби спеціального зв’язку та захисту інформації України від 16 травня 2007 року № 93.</w:t>
      </w:r>
    </w:p>
    <w:p w:rsidR="00426EED" w:rsidRDefault="00426EED" w:rsidP="00426EED">
      <w:pPr>
        <w:pStyle w:val="ab"/>
        <w:ind w:firstLine="0"/>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52"/>
        <w:gridCol w:w="4395"/>
        <w:gridCol w:w="1275"/>
        <w:gridCol w:w="3402"/>
      </w:tblGrid>
      <w:tr w:rsidR="00426EED" w:rsidRPr="007403F2" w:rsidTr="00172ABD">
        <w:tc>
          <w:tcPr>
            <w:tcW w:w="552" w:type="dxa"/>
            <w:tcBorders>
              <w:top w:val="single" w:sz="12" w:space="0" w:color="auto"/>
              <w:bottom w:val="single" w:sz="12" w:space="0" w:color="auto"/>
            </w:tcBorders>
            <w:shd w:val="clear" w:color="auto" w:fill="E7E6E6" w:themeFill="background2"/>
            <w:vAlign w:val="center"/>
          </w:tcPr>
          <w:p w:rsidR="00426EED" w:rsidRPr="007403F2" w:rsidRDefault="00426EED" w:rsidP="00172ABD">
            <w:pPr>
              <w:jc w:val="center"/>
              <w:rPr>
                <w:b/>
                <w:sz w:val="24"/>
                <w:szCs w:val="24"/>
              </w:rPr>
            </w:pPr>
            <w:r w:rsidRPr="007403F2">
              <w:rPr>
                <w:b/>
                <w:sz w:val="24"/>
                <w:szCs w:val="24"/>
              </w:rPr>
              <w:t>№ з/п</w:t>
            </w:r>
          </w:p>
        </w:tc>
        <w:tc>
          <w:tcPr>
            <w:tcW w:w="4395" w:type="dxa"/>
            <w:tcBorders>
              <w:top w:val="single" w:sz="12" w:space="0" w:color="auto"/>
              <w:bottom w:val="single" w:sz="12" w:space="0" w:color="auto"/>
            </w:tcBorders>
            <w:shd w:val="clear" w:color="auto" w:fill="E7E6E6" w:themeFill="background2"/>
            <w:vAlign w:val="center"/>
          </w:tcPr>
          <w:p w:rsidR="00426EED" w:rsidRPr="007403F2" w:rsidRDefault="00426EED" w:rsidP="00172ABD">
            <w:pPr>
              <w:rPr>
                <w:b/>
                <w:sz w:val="24"/>
                <w:szCs w:val="24"/>
              </w:rPr>
            </w:pPr>
            <w:r w:rsidRPr="007403F2">
              <w:rPr>
                <w:b/>
                <w:sz w:val="24"/>
                <w:szCs w:val="24"/>
              </w:rPr>
              <w:t>Найменування робіт, які будуть виконуватися</w:t>
            </w:r>
          </w:p>
        </w:tc>
        <w:tc>
          <w:tcPr>
            <w:tcW w:w="1275" w:type="dxa"/>
            <w:tcBorders>
              <w:top w:val="single" w:sz="12" w:space="0" w:color="auto"/>
              <w:bottom w:val="single" w:sz="12" w:space="0" w:color="auto"/>
            </w:tcBorders>
            <w:shd w:val="clear" w:color="auto" w:fill="E7E6E6" w:themeFill="background2"/>
            <w:vAlign w:val="center"/>
          </w:tcPr>
          <w:p w:rsidR="00426EED" w:rsidRPr="007403F2" w:rsidRDefault="00426EED" w:rsidP="00172ABD">
            <w:pPr>
              <w:jc w:val="center"/>
              <w:rPr>
                <w:b/>
                <w:sz w:val="24"/>
                <w:szCs w:val="24"/>
              </w:rPr>
            </w:pPr>
            <w:r w:rsidRPr="007403F2">
              <w:rPr>
                <w:b/>
                <w:sz w:val="24"/>
                <w:szCs w:val="24"/>
              </w:rPr>
              <w:t>Терміни</w:t>
            </w:r>
          </w:p>
        </w:tc>
        <w:tc>
          <w:tcPr>
            <w:tcW w:w="3402" w:type="dxa"/>
            <w:tcBorders>
              <w:top w:val="single" w:sz="12" w:space="0" w:color="auto"/>
              <w:bottom w:val="single" w:sz="12" w:space="0" w:color="auto"/>
            </w:tcBorders>
            <w:shd w:val="clear" w:color="auto" w:fill="E7E6E6" w:themeFill="background2"/>
            <w:vAlign w:val="center"/>
          </w:tcPr>
          <w:p w:rsidR="00426EED" w:rsidRPr="007403F2" w:rsidRDefault="00426EED" w:rsidP="00172ABD">
            <w:pPr>
              <w:jc w:val="center"/>
              <w:rPr>
                <w:b/>
                <w:sz w:val="24"/>
                <w:szCs w:val="24"/>
              </w:rPr>
            </w:pPr>
            <w:r w:rsidRPr="007403F2">
              <w:rPr>
                <w:b/>
                <w:sz w:val="24"/>
                <w:szCs w:val="24"/>
              </w:rPr>
              <w:t>Результат виконання</w:t>
            </w:r>
          </w:p>
        </w:tc>
      </w:tr>
      <w:tr w:rsidR="00426EED" w:rsidRPr="007403F2" w:rsidTr="00172ABD">
        <w:tblPrEx>
          <w:tblCellMar>
            <w:top w:w="57" w:type="dxa"/>
            <w:left w:w="57" w:type="dxa"/>
            <w:bottom w:w="57" w:type="dxa"/>
            <w:right w:w="57" w:type="dxa"/>
          </w:tblCellMar>
        </w:tblPrEx>
        <w:tc>
          <w:tcPr>
            <w:tcW w:w="552" w:type="dxa"/>
            <w:shd w:val="clear" w:color="auto" w:fill="auto"/>
            <w:vAlign w:val="center"/>
          </w:tcPr>
          <w:p w:rsidR="00426EED" w:rsidRPr="007403F2" w:rsidRDefault="00426EED" w:rsidP="00172ABD">
            <w:pPr>
              <w:jc w:val="center"/>
              <w:rPr>
                <w:sz w:val="24"/>
                <w:szCs w:val="24"/>
              </w:rPr>
            </w:pPr>
            <w:r w:rsidRPr="007403F2">
              <w:rPr>
                <w:sz w:val="24"/>
                <w:szCs w:val="24"/>
              </w:rPr>
              <w:t>1</w:t>
            </w:r>
          </w:p>
        </w:tc>
        <w:tc>
          <w:tcPr>
            <w:tcW w:w="4395" w:type="dxa"/>
            <w:shd w:val="clear" w:color="auto" w:fill="auto"/>
            <w:vAlign w:val="center"/>
          </w:tcPr>
          <w:p w:rsidR="00426EED" w:rsidRPr="007403F2" w:rsidRDefault="00426EED" w:rsidP="00172ABD">
            <w:pPr>
              <w:rPr>
                <w:sz w:val="24"/>
                <w:szCs w:val="24"/>
              </w:rPr>
            </w:pPr>
            <w:r w:rsidRPr="007403F2">
              <w:rPr>
                <w:sz w:val="24"/>
                <w:szCs w:val="24"/>
              </w:rPr>
              <w:t>Опрацювання отриманої технічної документації на об’єкт експертизи, необхідної для проведення експертних випробувань</w:t>
            </w:r>
          </w:p>
        </w:tc>
        <w:tc>
          <w:tcPr>
            <w:tcW w:w="1275" w:type="dxa"/>
            <w:shd w:val="clear" w:color="auto" w:fill="auto"/>
            <w:vAlign w:val="center"/>
          </w:tcPr>
          <w:p w:rsidR="00426EED" w:rsidRPr="007403F2" w:rsidRDefault="00426EED" w:rsidP="00172ABD">
            <w:pPr>
              <w:jc w:val="center"/>
              <w:rPr>
                <w:sz w:val="24"/>
                <w:szCs w:val="24"/>
              </w:rPr>
            </w:pPr>
          </w:p>
        </w:tc>
        <w:tc>
          <w:tcPr>
            <w:tcW w:w="3402" w:type="dxa"/>
            <w:shd w:val="clear" w:color="auto" w:fill="auto"/>
            <w:vAlign w:val="center"/>
          </w:tcPr>
          <w:p w:rsidR="00426EED" w:rsidRPr="007403F2" w:rsidRDefault="00426EED" w:rsidP="00172ABD">
            <w:pPr>
              <w:jc w:val="center"/>
              <w:rPr>
                <w:sz w:val="24"/>
                <w:szCs w:val="24"/>
              </w:rPr>
            </w:pPr>
            <w:r w:rsidRPr="007403F2">
              <w:rPr>
                <w:sz w:val="24"/>
                <w:szCs w:val="24"/>
              </w:rPr>
              <w:t>аналіз наданих документів</w:t>
            </w:r>
          </w:p>
        </w:tc>
      </w:tr>
      <w:tr w:rsidR="00426EED" w:rsidRPr="007403F2" w:rsidTr="00172ABD">
        <w:tblPrEx>
          <w:tblCellMar>
            <w:top w:w="57" w:type="dxa"/>
            <w:left w:w="57" w:type="dxa"/>
            <w:bottom w:w="57" w:type="dxa"/>
            <w:right w:w="57" w:type="dxa"/>
          </w:tblCellMar>
        </w:tblPrEx>
        <w:tc>
          <w:tcPr>
            <w:tcW w:w="552" w:type="dxa"/>
            <w:shd w:val="clear" w:color="auto" w:fill="auto"/>
            <w:vAlign w:val="center"/>
          </w:tcPr>
          <w:p w:rsidR="00426EED" w:rsidRPr="007403F2" w:rsidRDefault="00426EED" w:rsidP="00172ABD">
            <w:pPr>
              <w:jc w:val="center"/>
              <w:rPr>
                <w:sz w:val="24"/>
                <w:szCs w:val="24"/>
              </w:rPr>
            </w:pPr>
            <w:r w:rsidRPr="007403F2">
              <w:rPr>
                <w:sz w:val="24"/>
                <w:szCs w:val="24"/>
              </w:rPr>
              <w:t>2</w:t>
            </w:r>
          </w:p>
        </w:tc>
        <w:tc>
          <w:tcPr>
            <w:tcW w:w="4395" w:type="dxa"/>
            <w:shd w:val="clear" w:color="auto" w:fill="auto"/>
            <w:vAlign w:val="center"/>
          </w:tcPr>
          <w:p w:rsidR="00426EED" w:rsidRPr="007403F2" w:rsidRDefault="00426EED" w:rsidP="00172ABD">
            <w:pPr>
              <w:rPr>
                <w:sz w:val="24"/>
                <w:szCs w:val="24"/>
              </w:rPr>
            </w:pPr>
            <w:r w:rsidRPr="007403F2">
              <w:rPr>
                <w:sz w:val="24"/>
                <w:szCs w:val="24"/>
              </w:rPr>
              <w:t>Формування програми і методики проведення експертизи</w:t>
            </w:r>
          </w:p>
        </w:tc>
        <w:tc>
          <w:tcPr>
            <w:tcW w:w="1275" w:type="dxa"/>
            <w:shd w:val="clear" w:color="auto" w:fill="auto"/>
            <w:vAlign w:val="center"/>
          </w:tcPr>
          <w:p w:rsidR="00426EED" w:rsidRPr="007403F2" w:rsidRDefault="00426EED" w:rsidP="00172ABD">
            <w:pPr>
              <w:jc w:val="center"/>
              <w:rPr>
                <w:sz w:val="24"/>
                <w:szCs w:val="24"/>
              </w:rPr>
            </w:pPr>
          </w:p>
        </w:tc>
        <w:tc>
          <w:tcPr>
            <w:tcW w:w="3402" w:type="dxa"/>
            <w:shd w:val="clear" w:color="auto" w:fill="auto"/>
            <w:vAlign w:val="center"/>
          </w:tcPr>
          <w:p w:rsidR="00426EED" w:rsidRPr="007403F2" w:rsidRDefault="00426EED" w:rsidP="00172ABD">
            <w:pPr>
              <w:jc w:val="center"/>
              <w:rPr>
                <w:sz w:val="24"/>
                <w:szCs w:val="24"/>
              </w:rPr>
            </w:pPr>
            <w:r w:rsidRPr="007403F2">
              <w:rPr>
                <w:sz w:val="24"/>
                <w:szCs w:val="24"/>
              </w:rPr>
              <w:t xml:space="preserve">програма і методика проведення експертизи </w:t>
            </w:r>
          </w:p>
        </w:tc>
      </w:tr>
      <w:tr w:rsidR="00426EED" w:rsidRPr="007403F2" w:rsidTr="00172ABD">
        <w:tblPrEx>
          <w:tblCellMar>
            <w:top w:w="57" w:type="dxa"/>
            <w:left w:w="57" w:type="dxa"/>
            <w:bottom w:w="57" w:type="dxa"/>
            <w:right w:w="57" w:type="dxa"/>
          </w:tblCellMar>
        </w:tblPrEx>
        <w:tc>
          <w:tcPr>
            <w:tcW w:w="552" w:type="dxa"/>
            <w:shd w:val="clear" w:color="auto" w:fill="auto"/>
            <w:vAlign w:val="center"/>
          </w:tcPr>
          <w:p w:rsidR="00426EED" w:rsidRPr="007403F2" w:rsidRDefault="00426EED" w:rsidP="00172ABD">
            <w:pPr>
              <w:jc w:val="center"/>
              <w:rPr>
                <w:sz w:val="24"/>
                <w:szCs w:val="24"/>
              </w:rPr>
            </w:pPr>
            <w:r w:rsidRPr="007403F2">
              <w:rPr>
                <w:sz w:val="24"/>
                <w:szCs w:val="24"/>
              </w:rPr>
              <w:t>3</w:t>
            </w:r>
          </w:p>
        </w:tc>
        <w:tc>
          <w:tcPr>
            <w:tcW w:w="4395" w:type="dxa"/>
            <w:shd w:val="clear" w:color="auto" w:fill="auto"/>
            <w:vAlign w:val="center"/>
          </w:tcPr>
          <w:p w:rsidR="00426EED" w:rsidRPr="007403F2" w:rsidRDefault="00426EED" w:rsidP="00172ABD">
            <w:pPr>
              <w:rPr>
                <w:sz w:val="24"/>
                <w:szCs w:val="24"/>
              </w:rPr>
            </w:pPr>
            <w:r w:rsidRPr="007403F2">
              <w:rPr>
                <w:sz w:val="24"/>
                <w:szCs w:val="24"/>
              </w:rPr>
              <w:t>Проведення експертизи</w:t>
            </w:r>
          </w:p>
        </w:tc>
        <w:tc>
          <w:tcPr>
            <w:tcW w:w="1275" w:type="dxa"/>
            <w:shd w:val="clear" w:color="auto" w:fill="auto"/>
            <w:vAlign w:val="center"/>
          </w:tcPr>
          <w:p w:rsidR="00426EED" w:rsidRPr="007403F2" w:rsidRDefault="00426EED" w:rsidP="00172ABD">
            <w:pPr>
              <w:jc w:val="center"/>
              <w:rPr>
                <w:sz w:val="24"/>
                <w:szCs w:val="24"/>
              </w:rPr>
            </w:pPr>
          </w:p>
        </w:tc>
        <w:tc>
          <w:tcPr>
            <w:tcW w:w="3402" w:type="dxa"/>
            <w:shd w:val="clear" w:color="auto" w:fill="auto"/>
            <w:vAlign w:val="center"/>
          </w:tcPr>
          <w:p w:rsidR="00426EED" w:rsidRPr="007403F2" w:rsidRDefault="00426EED" w:rsidP="00172ABD">
            <w:pPr>
              <w:jc w:val="center"/>
              <w:rPr>
                <w:sz w:val="24"/>
                <w:szCs w:val="24"/>
              </w:rPr>
            </w:pPr>
            <w:r w:rsidRPr="007403F2">
              <w:rPr>
                <w:sz w:val="24"/>
                <w:szCs w:val="24"/>
              </w:rPr>
              <w:t xml:space="preserve">протокол виконання робіт </w:t>
            </w:r>
          </w:p>
        </w:tc>
      </w:tr>
      <w:tr w:rsidR="00426EED" w:rsidRPr="007403F2" w:rsidTr="00172ABD">
        <w:tblPrEx>
          <w:tblCellMar>
            <w:top w:w="57" w:type="dxa"/>
            <w:left w:w="57" w:type="dxa"/>
            <w:bottom w:w="57" w:type="dxa"/>
            <w:right w:w="57" w:type="dxa"/>
          </w:tblCellMar>
        </w:tblPrEx>
        <w:tc>
          <w:tcPr>
            <w:tcW w:w="552" w:type="dxa"/>
            <w:shd w:val="clear" w:color="auto" w:fill="auto"/>
            <w:vAlign w:val="center"/>
          </w:tcPr>
          <w:p w:rsidR="00426EED" w:rsidRPr="007403F2" w:rsidRDefault="00426EED" w:rsidP="00172ABD">
            <w:pPr>
              <w:jc w:val="center"/>
              <w:rPr>
                <w:sz w:val="24"/>
                <w:szCs w:val="24"/>
              </w:rPr>
            </w:pPr>
            <w:r w:rsidRPr="007403F2">
              <w:rPr>
                <w:sz w:val="24"/>
                <w:szCs w:val="24"/>
              </w:rPr>
              <w:t>4</w:t>
            </w:r>
          </w:p>
        </w:tc>
        <w:tc>
          <w:tcPr>
            <w:tcW w:w="4395" w:type="dxa"/>
            <w:shd w:val="clear" w:color="auto" w:fill="auto"/>
            <w:vAlign w:val="center"/>
          </w:tcPr>
          <w:p w:rsidR="00426EED" w:rsidRPr="007403F2" w:rsidRDefault="00426EED" w:rsidP="00172ABD">
            <w:pPr>
              <w:rPr>
                <w:sz w:val="24"/>
                <w:szCs w:val="24"/>
              </w:rPr>
            </w:pPr>
            <w:r w:rsidRPr="007403F2">
              <w:rPr>
                <w:sz w:val="24"/>
                <w:szCs w:val="24"/>
              </w:rPr>
              <w:t>Доопрацювання об’єкта експертизи, додаткові експертні роботи</w:t>
            </w:r>
          </w:p>
        </w:tc>
        <w:tc>
          <w:tcPr>
            <w:tcW w:w="1275" w:type="dxa"/>
            <w:shd w:val="clear" w:color="auto" w:fill="auto"/>
            <w:vAlign w:val="center"/>
          </w:tcPr>
          <w:p w:rsidR="00426EED" w:rsidRPr="007403F2" w:rsidRDefault="00426EED" w:rsidP="00172ABD">
            <w:pPr>
              <w:jc w:val="center"/>
              <w:rPr>
                <w:sz w:val="24"/>
                <w:szCs w:val="24"/>
              </w:rPr>
            </w:pPr>
          </w:p>
        </w:tc>
        <w:tc>
          <w:tcPr>
            <w:tcW w:w="3402" w:type="dxa"/>
            <w:shd w:val="clear" w:color="auto" w:fill="auto"/>
            <w:vAlign w:val="center"/>
          </w:tcPr>
          <w:p w:rsidR="00426EED" w:rsidRPr="007403F2" w:rsidRDefault="00426EED" w:rsidP="00172ABD">
            <w:pPr>
              <w:jc w:val="center"/>
              <w:rPr>
                <w:sz w:val="24"/>
                <w:szCs w:val="24"/>
              </w:rPr>
            </w:pPr>
            <w:r w:rsidRPr="007403F2">
              <w:rPr>
                <w:sz w:val="24"/>
                <w:szCs w:val="24"/>
              </w:rPr>
              <w:t>спільний протокол, окремі протоколи доопрацювання</w:t>
            </w:r>
          </w:p>
        </w:tc>
      </w:tr>
      <w:tr w:rsidR="00426EED" w:rsidRPr="007403F2" w:rsidTr="00172ABD">
        <w:tblPrEx>
          <w:tblCellMar>
            <w:top w:w="57" w:type="dxa"/>
            <w:left w:w="57" w:type="dxa"/>
            <w:bottom w:w="57" w:type="dxa"/>
            <w:right w:w="57" w:type="dxa"/>
          </w:tblCellMar>
        </w:tblPrEx>
        <w:tc>
          <w:tcPr>
            <w:tcW w:w="552" w:type="dxa"/>
            <w:shd w:val="clear" w:color="auto" w:fill="auto"/>
            <w:vAlign w:val="center"/>
          </w:tcPr>
          <w:p w:rsidR="00426EED" w:rsidRPr="007403F2" w:rsidRDefault="00426EED" w:rsidP="00172ABD">
            <w:pPr>
              <w:jc w:val="center"/>
              <w:rPr>
                <w:sz w:val="24"/>
                <w:szCs w:val="24"/>
              </w:rPr>
            </w:pPr>
            <w:r w:rsidRPr="007403F2">
              <w:rPr>
                <w:sz w:val="24"/>
                <w:szCs w:val="24"/>
              </w:rPr>
              <w:t>5</w:t>
            </w:r>
          </w:p>
        </w:tc>
        <w:tc>
          <w:tcPr>
            <w:tcW w:w="4395" w:type="dxa"/>
            <w:shd w:val="clear" w:color="auto" w:fill="auto"/>
            <w:vAlign w:val="center"/>
          </w:tcPr>
          <w:p w:rsidR="00426EED" w:rsidRPr="007403F2" w:rsidRDefault="00426EED" w:rsidP="00172ABD">
            <w:pPr>
              <w:rPr>
                <w:sz w:val="24"/>
                <w:szCs w:val="24"/>
              </w:rPr>
            </w:pPr>
            <w:r w:rsidRPr="007403F2">
              <w:rPr>
                <w:sz w:val="24"/>
                <w:szCs w:val="24"/>
              </w:rPr>
              <w:t>Узагальнення та оформлення робіт, визначених методикою</w:t>
            </w:r>
          </w:p>
        </w:tc>
        <w:tc>
          <w:tcPr>
            <w:tcW w:w="1275" w:type="dxa"/>
            <w:shd w:val="clear" w:color="auto" w:fill="auto"/>
            <w:vAlign w:val="center"/>
          </w:tcPr>
          <w:p w:rsidR="00426EED" w:rsidRPr="007403F2" w:rsidRDefault="00426EED" w:rsidP="00172ABD">
            <w:pPr>
              <w:jc w:val="center"/>
              <w:rPr>
                <w:sz w:val="24"/>
                <w:szCs w:val="24"/>
              </w:rPr>
            </w:pPr>
          </w:p>
        </w:tc>
        <w:tc>
          <w:tcPr>
            <w:tcW w:w="3402" w:type="dxa"/>
            <w:shd w:val="clear" w:color="auto" w:fill="auto"/>
            <w:vAlign w:val="center"/>
          </w:tcPr>
          <w:p w:rsidR="00426EED" w:rsidRPr="007403F2" w:rsidRDefault="00426EED" w:rsidP="00172ABD">
            <w:pPr>
              <w:jc w:val="center"/>
              <w:rPr>
                <w:sz w:val="24"/>
                <w:szCs w:val="24"/>
              </w:rPr>
            </w:pPr>
            <w:r w:rsidRPr="007403F2">
              <w:rPr>
                <w:sz w:val="24"/>
                <w:szCs w:val="24"/>
              </w:rPr>
              <w:t>експертний висновок та атестат відповідності</w:t>
            </w:r>
          </w:p>
        </w:tc>
      </w:tr>
      <w:tr w:rsidR="00426EED" w:rsidRPr="007403F2" w:rsidTr="00172ABD">
        <w:tblPrEx>
          <w:tblCellMar>
            <w:top w:w="57" w:type="dxa"/>
            <w:left w:w="57" w:type="dxa"/>
            <w:bottom w:w="57" w:type="dxa"/>
            <w:right w:w="57" w:type="dxa"/>
          </w:tblCellMar>
        </w:tblPrEx>
        <w:tc>
          <w:tcPr>
            <w:tcW w:w="552" w:type="dxa"/>
            <w:shd w:val="clear" w:color="auto" w:fill="auto"/>
            <w:vAlign w:val="center"/>
          </w:tcPr>
          <w:p w:rsidR="00426EED" w:rsidRPr="007403F2" w:rsidRDefault="00426EED" w:rsidP="00172ABD">
            <w:pPr>
              <w:jc w:val="center"/>
              <w:rPr>
                <w:sz w:val="24"/>
                <w:szCs w:val="24"/>
              </w:rPr>
            </w:pPr>
            <w:r w:rsidRPr="007403F2">
              <w:rPr>
                <w:sz w:val="24"/>
                <w:szCs w:val="24"/>
              </w:rPr>
              <w:t>6</w:t>
            </w:r>
          </w:p>
        </w:tc>
        <w:tc>
          <w:tcPr>
            <w:tcW w:w="4395" w:type="dxa"/>
            <w:shd w:val="clear" w:color="auto" w:fill="auto"/>
            <w:vAlign w:val="center"/>
          </w:tcPr>
          <w:p w:rsidR="00426EED" w:rsidRPr="007403F2" w:rsidRDefault="00426EED" w:rsidP="00172ABD">
            <w:pPr>
              <w:rPr>
                <w:sz w:val="24"/>
                <w:szCs w:val="24"/>
              </w:rPr>
            </w:pPr>
            <w:r w:rsidRPr="007403F2">
              <w:rPr>
                <w:sz w:val="24"/>
                <w:szCs w:val="24"/>
              </w:rPr>
              <w:t xml:space="preserve">Подання документів, що підтверджують відповідність вимогам нормативних документів з ТЗІ, програми, методики та протоколів виконання робіт, для розгляду до Адміністрації </w:t>
            </w:r>
            <w:proofErr w:type="spellStart"/>
            <w:r w:rsidRPr="007403F2">
              <w:rPr>
                <w:sz w:val="24"/>
                <w:szCs w:val="24"/>
              </w:rPr>
              <w:t>Держспецзв’язку</w:t>
            </w:r>
            <w:proofErr w:type="spellEnd"/>
            <w:r w:rsidRPr="007403F2">
              <w:rPr>
                <w:sz w:val="24"/>
                <w:szCs w:val="24"/>
              </w:rPr>
              <w:t>, супроводження документів під час розгляду</w:t>
            </w:r>
          </w:p>
        </w:tc>
        <w:tc>
          <w:tcPr>
            <w:tcW w:w="1275" w:type="dxa"/>
            <w:shd w:val="clear" w:color="auto" w:fill="auto"/>
            <w:vAlign w:val="center"/>
          </w:tcPr>
          <w:p w:rsidR="00426EED" w:rsidRPr="007403F2" w:rsidRDefault="00426EED" w:rsidP="00172ABD">
            <w:pPr>
              <w:jc w:val="center"/>
              <w:rPr>
                <w:sz w:val="24"/>
                <w:szCs w:val="24"/>
              </w:rPr>
            </w:pPr>
            <w:r w:rsidRPr="007403F2">
              <w:rPr>
                <w:sz w:val="24"/>
                <w:szCs w:val="24"/>
              </w:rPr>
              <w:t>3 місяці з дати підписання Договору</w:t>
            </w:r>
          </w:p>
        </w:tc>
        <w:tc>
          <w:tcPr>
            <w:tcW w:w="3402" w:type="dxa"/>
            <w:shd w:val="clear" w:color="auto" w:fill="auto"/>
            <w:vAlign w:val="center"/>
          </w:tcPr>
          <w:p w:rsidR="00426EED" w:rsidRPr="007403F2" w:rsidRDefault="00426EED" w:rsidP="00172ABD">
            <w:pPr>
              <w:jc w:val="center"/>
              <w:rPr>
                <w:sz w:val="24"/>
                <w:szCs w:val="24"/>
              </w:rPr>
            </w:pPr>
            <w:r w:rsidRPr="007403F2">
              <w:rPr>
                <w:sz w:val="24"/>
                <w:szCs w:val="24"/>
              </w:rPr>
              <w:t>Зареєстрований атестат відповідності КСЗІ, експертний висновок</w:t>
            </w:r>
            <w:r>
              <w:rPr>
                <w:sz w:val="24"/>
                <w:szCs w:val="24"/>
              </w:rPr>
              <w:t>.</w:t>
            </w:r>
          </w:p>
          <w:p w:rsidR="00426EED" w:rsidRPr="007403F2" w:rsidRDefault="00426EED" w:rsidP="00172ABD">
            <w:pPr>
              <w:jc w:val="center"/>
              <w:rPr>
                <w:sz w:val="24"/>
                <w:szCs w:val="24"/>
              </w:rPr>
            </w:pPr>
            <w:r w:rsidRPr="007403F2">
              <w:rPr>
                <w:sz w:val="24"/>
                <w:szCs w:val="24"/>
              </w:rPr>
              <w:t>Акт</w:t>
            </w:r>
            <w:r>
              <w:rPr>
                <w:sz w:val="24"/>
                <w:szCs w:val="24"/>
              </w:rPr>
              <w:t xml:space="preserve"> приймання-передачі послуг</w:t>
            </w:r>
          </w:p>
        </w:tc>
      </w:tr>
    </w:tbl>
    <w:p w:rsidR="00426EED" w:rsidRDefault="00426EED" w:rsidP="00426EED">
      <w:pPr>
        <w:pStyle w:val="ab"/>
      </w:pPr>
    </w:p>
    <w:p w:rsidR="00426EED" w:rsidRDefault="00426EED" w:rsidP="00426EED">
      <w:pPr>
        <w:pStyle w:val="ab"/>
      </w:pPr>
      <w:r w:rsidRPr="007403F2">
        <w:t>Склад та оформлення документації має відповідати НД ТЗІ 2.6-001-11</w:t>
      </w:r>
      <w:r>
        <w:t>.</w:t>
      </w:r>
    </w:p>
    <w:p w:rsidR="00426EED" w:rsidRDefault="00426EED" w:rsidP="00426EED">
      <w:pPr>
        <w:pStyle w:val="ab"/>
      </w:pPr>
      <w:r>
        <w:t xml:space="preserve">Організатор державної експертизи визначається Адміністрацією </w:t>
      </w:r>
      <w:proofErr w:type="spellStart"/>
      <w:r>
        <w:t>Держспецзв’язку</w:t>
      </w:r>
      <w:proofErr w:type="spellEnd"/>
      <w:r>
        <w:t xml:space="preserve"> з урахуванням пропозиції Замовника.</w:t>
      </w:r>
    </w:p>
    <w:p w:rsidR="00426EED" w:rsidRPr="007403F2" w:rsidRDefault="00426EED" w:rsidP="00426EED">
      <w:pPr>
        <w:pStyle w:val="ab"/>
      </w:pPr>
      <w:r>
        <w:t xml:space="preserve">До організації державної експертизи залучається навчальний заклад, науково-дослідна, науково-виробнича установа, підприємство, установа або організація, яка має ліцензію для провадження господарської діяльності з надання послуг з оцінювання захищеності інформації, що не становить державної таємниці (для підтвердження надається копія ліцензії або витягу з наказу </w:t>
      </w:r>
      <w:proofErr w:type="spellStart"/>
      <w:r>
        <w:t>Держспецзв’язку</w:t>
      </w:r>
      <w:proofErr w:type="spellEnd"/>
      <w:r>
        <w:t xml:space="preserve"> про видачу ліцензії).</w:t>
      </w:r>
    </w:p>
    <w:p w:rsidR="00426EED" w:rsidRDefault="00426EED" w:rsidP="00426EED">
      <w:pPr>
        <w:pStyle w:val="ab"/>
      </w:pPr>
    </w:p>
    <w:p w:rsidR="00426EED" w:rsidRDefault="00426EED" w:rsidP="00426EED">
      <w:pPr>
        <w:pStyle w:val="ab"/>
      </w:pPr>
      <w:r w:rsidRPr="00FC2D33">
        <w:rPr>
          <w:b/>
        </w:rPr>
        <w:t>Обґрунтування бюджетного призначення та/або очікуваної вартості предмета закупівлі</w:t>
      </w:r>
      <w:r>
        <w:rPr>
          <w:b/>
        </w:rPr>
        <w:t>.</w:t>
      </w:r>
      <w:r>
        <w:t xml:space="preserve"> </w:t>
      </w:r>
    </w:p>
    <w:p w:rsidR="00426EED" w:rsidRDefault="00426EED" w:rsidP="00426EED">
      <w:pPr>
        <w:pStyle w:val="ab"/>
      </w:pPr>
      <w:r>
        <w:t xml:space="preserve">Очікувана вартість визначалась на підставі трьох отриманих комерційних пропозицій компаній, які знаходяться на сайті </w:t>
      </w:r>
      <w:proofErr w:type="spellStart"/>
      <w:r>
        <w:t>Держспецзв’язку</w:t>
      </w:r>
      <w:proofErr w:type="spellEnd"/>
      <w:r>
        <w:t xml:space="preserve"> за посиланням https://cip.gov.ua/ua/news/ocinyuvannya-zakhishenosti-informaciyi-sho-ne-stanovitderzhavnoyi-tayemnici та мають чинну ліцензію на послуги з оцінювання захищеності інформації, що не становить державної таємниці,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 лютого 2020 року № 275 «Про затвердження примірної методики визначення очікуваної вартості предмета закупівлі».</w:t>
      </w:r>
    </w:p>
    <w:p w:rsidR="00426EED" w:rsidRDefault="00426EED" w:rsidP="00426EED">
      <w:pPr>
        <w:pStyle w:val="ab"/>
      </w:pPr>
      <w:r>
        <w:t xml:space="preserve">Згідно з методом порівняння ринкових цін Методики проведено розрахунок очікуваної вартості з використанням трьох комерційних пропозицій (далі – Ц) наступних компаній: </w:t>
      </w:r>
    </w:p>
    <w:p w:rsidR="00426EED" w:rsidRDefault="00426EED" w:rsidP="00426EED">
      <w:pPr>
        <w:pStyle w:val="ab"/>
      </w:pPr>
      <w:r>
        <w:t xml:space="preserve">Ц1 – ТОВ «WEB PRO» від 03.05.2024 № 2024/05-1, </w:t>
      </w:r>
    </w:p>
    <w:p w:rsidR="00426EED" w:rsidRDefault="00426EED" w:rsidP="00426EED">
      <w:pPr>
        <w:pStyle w:val="ab"/>
      </w:pPr>
      <w:r>
        <w:t xml:space="preserve">Ц2 – ДП «УСС» від 05.01.2024 № 04-78, </w:t>
      </w:r>
    </w:p>
    <w:p w:rsidR="00426EED" w:rsidRDefault="00426EED" w:rsidP="00426EED">
      <w:pPr>
        <w:pStyle w:val="ab"/>
      </w:pPr>
      <w:r>
        <w:t>Ц3 – ТОВ «</w:t>
      </w:r>
      <w:proofErr w:type="spellStart"/>
      <w:r>
        <w:t>Спецбайт</w:t>
      </w:r>
      <w:proofErr w:type="spellEnd"/>
      <w:r>
        <w:t xml:space="preserve">» від 13.12.2023 № 13/1. </w:t>
      </w:r>
    </w:p>
    <w:p w:rsidR="00426EED" w:rsidRDefault="00426EED" w:rsidP="00426EED">
      <w:pPr>
        <w:pStyle w:val="ab"/>
      </w:pPr>
      <w:r>
        <w:t xml:space="preserve">ОВ = (Ц1+…ЦК)/К, де ОВ – очікувана вартість; Ц1, ЦК – ціни, отримані з комерційних пропозицій; К – кількість цін. </w:t>
      </w:r>
    </w:p>
    <w:p w:rsidR="00426EED" w:rsidRDefault="00426EED" w:rsidP="00426EED">
      <w:pPr>
        <w:pStyle w:val="ab"/>
      </w:pPr>
      <w:r>
        <w:t xml:space="preserve">За результатами розрахунку, згідно із отриманими ціновими пропозиціями, очікувана вартість становить: </w:t>
      </w:r>
    </w:p>
    <w:p w:rsidR="00426EED" w:rsidRDefault="00426EED" w:rsidP="00426EED">
      <w:pPr>
        <w:pStyle w:val="ab"/>
      </w:pPr>
      <w:r>
        <w:t>ОВ = (Ц1+Ц2+Ц3)/3=(</w:t>
      </w:r>
      <w:r>
        <w:rPr>
          <w:lang w:val="en-US"/>
        </w:rPr>
        <w:t>197 880</w:t>
      </w:r>
      <w:r>
        <w:t>,</w:t>
      </w:r>
      <w:r>
        <w:rPr>
          <w:lang w:val="en-US"/>
        </w:rPr>
        <w:t>00 +  45 000</w:t>
      </w:r>
      <w:r>
        <w:t>,</w:t>
      </w:r>
      <w:r>
        <w:rPr>
          <w:lang w:val="en-US"/>
        </w:rPr>
        <w:t>00</w:t>
      </w:r>
      <w:r>
        <w:t xml:space="preserve"> + 99 000)/3=128 960 грн, з урахуванням ПДВ</w:t>
      </w:r>
      <w:r>
        <w:t>;</w:t>
      </w:r>
    </w:p>
    <w:p w:rsidR="00426EED" w:rsidRPr="00510A72" w:rsidRDefault="00426EED" w:rsidP="00426EED">
      <w:pPr>
        <w:pStyle w:val="ab"/>
      </w:pPr>
      <w:r>
        <w:t>Враховуючи р</w:t>
      </w:r>
      <w:r w:rsidRPr="00510A72">
        <w:t xml:space="preserve">озмір бюджетного призначення </w:t>
      </w:r>
      <w:r w:rsidRPr="0029270C">
        <w:rPr>
          <w:b/>
        </w:rPr>
        <w:t>очікувана вартість закупівлі  становить 99 000,00 грн</w:t>
      </w:r>
      <w:r w:rsidRPr="00510A72">
        <w:t>.</w:t>
      </w:r>
      <w:r>
        <w:t xml:space="preserve"> </w:t>
      </w:r>
      <w:r w:rsidRPr="00510A72">
        <w:t xml:space="preserve">(дев’яносто дев’ять </w:t>
      </w:r>
      <w:r>
        <w:t xml:space="preserve">тисяч </w:t>
      </w:r>
      <w:r w:rsidRPr="00510A72">
        <w:t>гр</w:t>
      </w:r>
      <w:r>
        <w:t>ивень</w:t>
      </w:r>
      <w:r w:rsidRPr="00510A72">
        <w:t xml:space="preserve"> 00 </w:t>
      </w:r>
      <w:proofErr w:type="spellStart"/>
      <w:r w:rsidRPr="00510A72">
        <w:t>коп</w:t>
      </w:r>
      <w:proofErr w:type="spellEnd"/>
      <w:r w:rsidRPr="00510A72">
        <w:t>)</w:t>
      </w:r>
      <w:r>
        <w:t>.</w:t>
      </w:r>
    </w:p>
    <w:p w:rsidR="00426EED" w:rsidRPr="004D5B58" w:rsidRDefault="00426EED" w:rsidP="00426EED"/>
    <w:p w:rsidR="0003718E" w:rsidRPr="00AD74DC" w:rsidRDefault="0003718E" w:rsidP="00426EED">
      <w:pPr>
        <w:pStyle w:val="2"/>
        <w:tabs>
          <w:tab w:val="clear" w:pos="5104"/>
        </w:tabs>
        <w:ind w:left="0" w:firstLine="426"/>
        <w:rPr>
          <w:sz w:val="24"/>
        </w:rPr>
      </w:pPr>
    </w:p>
    <w:sectPr w:rsidR="0003718E" w:rsidRPr="00AD74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67F2B"/>
    <w:multiLevelType w:val="multilevel"/>
    <w:tmpl w:val="F6940F62"/>
    <w:lvl w:ilvl="0">
      <w:start w:val="1"/>
      <w:numFmt w:val="decimal"/>
      <w:lvlText w:val="%1."/>
      <w:lvlJc w:val="left"/>
      <w:pPr>
        <w:tabs>
          <w:tab w:val="num" w:pos="993"/>
        </w:tabs>
        <w:ind w:left="-141"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2"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6"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323719"/>
    <w:multiLevelType w:val="hybridMultilevel"/>
    <w:tmpl w:val="FC42F916"/>
    <w:lvl w:ilvl="0" w:tplc="5F9A0B56">
      <w:start w:val="1"/>
      <w:numFmt w:val="decimal"/>
      <w:lvlText w:val="%1."/>
      <w:lvlJc w:val="left"/>
      <w:pPr>
        <w:ind w:left="1287"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1"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2"/>
  </w:num>
  <w:num w:numId="6">
    <w:abstractNumId w:val="1"/>
  </w:num>
  <w:num w:numId="7">
    <w:abstractNumId w:val="9"/>
  </w:num>
  <w:num w:numId="8">
    <w:abstractNumId w:val="4"/>
  </w:num>
  <w:num w:numId="9">
    <w:abstractNumId w:val="3"/>
  </w:num>
  <w:num w:numId="10">
    <w:abstractNumId w:val="11"/>
  </w:num>
  <w:num w:numId="11">
    <w:abstractNumId w:val="6"/>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C6E30"/>
    <w:rsid w:val="001548C1"/>
    <w:rsid w:val="00426EED"/>
    <w:rsid w:val="00464A76"/>
    <w:rsid w:val="005527AD"/>
    <w:rsid w:val="007329CB"/>
    <w:rsid w:val="00733068"/>
    <w:rsid w:val="00761B57"/>
    <w:rsid w:val="0084248B"/>
    <w:rsid w:val="00860A1D"/>
    <w:rsid w:val="00984C2C"/>
    <w:rsid w:val="009B6ECD"/>
    <w:rsid w:val="00A238BF"/>
    <w:rsid w:val="00AD74DC"/>
    <w:rsid w:val="00B24970"/>
    <w:rsid w:val="00DC7F85"/>
    <w:rsid w:val="00FB02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42A7"/>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18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
    <w:link w:val="a4"/>
    <w:uiPriority w:val="34"/>
    <w:qFormat/>
    <w:rsid w:val="0003718E"/>
    <w:pPr>
      <w:ind w:left="720"/>
      <w:contextualSpacing/>
    </w:pPr>
  </w:style>
  <w:style w:type="character" w:customStyle="1" w:styleId="a4">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3"/>
    <w:uiPriority w:val="34"/>
    <w:qFormat/>
    <w:rsid w:val="0003718E"/>
    <w:rPr>
      <w:rFonts w:ascii="Times New Roman" w:hAnsi="Times New Roman"/>
      <w:sz w:val="28"/>
    </w:rPr>
  </w:style>
  <w:style w:type="character" w:styleId="a5">
    <w:name w:val="Emphasis"/>
    <w:uiPriority w:val="99"/>
    <w:qFormat/>
    <w:rsid w:val="005527AD"/>
    <w:rPr>
      <w:i/>
      <w:iCs/>
    </w:rPr>
  </w:style>
  <w:style w:type="paragraph" w:customStyle="1" w:styleId="a6">
    <w:name w:val="Номер"/>
    <w:basedOn w:val="a"/>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7">
    <w:name w:val="Balloon Text"/>
    <w:basedOn w:val="a"/>
    <w:link w:val="a8"/>
    <w:uiPriority w:val="99"/>
    <w:semiHidden/>
    <w:unhideWhenUsed/>
    <w:rsid w:val="00733068"/>
    <w:rPr>
      <w:rFonts w:ascii="Segoe UI" w:hAnsi="Segoe UI" w:cs="Segoe UI"/>
      <w:sz w:val="18"/>
      <w:szCs w:val="18"/>
    </w:rPr>
  </w:style>
  <w:style w:type="character" w:customStyle="1" w:styleId="a8">
    <w:name w:val="Текст у виносці Знак"/>
    <w:basedOn w:val="a0"/>
    <w:link w:val="a7"/>
    <w:uiPriority w:val="99"/>
    <w:semiHidden/>
    <w:rsid w:val="00733068"/>
    <w:rPr>
      <w:rFonts w:ascii="Segoe UI" w:hAnsi="Segoe UI" w:cs="Segoe UI"/>
      <w:sz w:val="18"/>
      <w:szCs w:val="18"/>
    </w:rPr>
  </w:style>
  <w:style w:type="character" w:customStyle="1" w:styleId="a9">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
    <w:link w:val="a9"/>
    <w:rsid w:val="009B6ECD"/>
    <w:pPr>
      <w:widowControl w:val="0"/>
      <w:shd w:val="clear" w:color="auto" w:fill="FFFFFF"/>
      <w:spacing w:after="60" w:line="0" w:lineRule="atLeast"/>
      <w:ind w:hanging="420"/>
      <w:jc w:val="right"/>
    </w:pPr>
    <w:rPr>
      <w:rFonts w:eastAsia="Times New Roman"/>
      <w:sz w:val="23"/>
      <w:szCs w:val="23"/>
    </w:rPr>
  </w:style>
  <w:style w:type="paragraph" w:styleId="aa">
    <w:name w:val="Normal (Web)"/>
    <w:basedOn w:val="a"/>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2">
    <w:name w:val="Номер2"/>
    <w:basedOn w:val="a6"/>
    <w:qFormat/>
    <w:rsid w:val="00AD74DC"/>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
    <w:rsid w:val="00AD74DC"/>
    <w:pPr>
      <w:tabs>
        <w:tab w:val="clear" w:pos="5104"/>
        <w:tab w:val="num" w:pos="1701"/>
      </w:tabs>
      <w:ind w:left="0"/>
    </w:pPr>
  </w:style>
  <w:style w:type="paragraph" w:customStyle="1" w:styleId="4">
    <w:name w:val="Номер4"/>
    <w:basedOn w:val="30"/>
    <w:rsid w:val="00AD74DC"/>
    <w:pPr>
      <w:tabs>
        <w:tab w:val="clear" w:pos="1701"/>
        <w:tab w:val="num" w:pos="1985"/>
      </w:tabs>
    </w:pPr>
  </w:style>
  <w:style w:type="paragraph" w:customStyle="1" w:styleId="5">
    <w:name w:val="Номер5"/>
    <w:basedOn w:val="4"/>
    <w:rsid w:val="00AD74DC"/>
    <w:pPr>
      <w:tabs>
        <w:tab w:val="clear" w:pos="1985"/>
        <w:tab w:val="num" w:pos="2268"/>
      </w:tabs>
    </w:pPr>
  </w:style>
  <w:style w:type="paragraph" w:customStyle="1" w:styleId="6">
    <w:name w:val="Номер6"/>
    <w:basedOn w:val="5"/>
    <w:rsid w:val="00AD74DC"/>
    <w:pPr>
      <w:tabs>
        <w:tab w:val="clear" w:pos="2268"/>
        <w:tab w:val="num" w:pos="2552"/>
      </w:tabs>
    </w:pPr>
  </w:style>
  <w:style w:type="paragraph" w:customStyle="1" w:styleId="7">
    <w:name w:val="Номер7"/>
    <w:basedOn w:val="6"/>
    <w:rsid w:val="00AD74DC"/>
    <w:pPr>
      <w:tabs>
        <w:tab w:val="clear" w:pos="2552"/>
        <w:tab w:val="num" w:pos="2835"/>
      </w:tabs>
    </w:pPr>
  </w:style>
  <w:style w:type="paragraph" w:customStyle="1" w:styleId="8">
    <w:name w:val="Номер8"/>
    <w:basedOn w:val="7"/>
    <w:rsid w:val="00AD74DC"/>
    <w:pPr>
      <w:tabs>
        <w:tab w:val="clear" w:pos="2835"/>
        <w:tab w:val="num" w:pos="3119"/>
      </w:tabs>
    </w:pPr>
  </w:style>
  <w:style w:type="paragraph" w:customStyle="1" w:styleId="9">
    <w:name w:val="Номер9"/>
    <w:basedOn w:val="8"/>
    <w:rsid w:val="00AD74DC"/>
    <w:pPr>
      <w:tabs>
        <w:tab w:val="clear" w:pos="3119"/>
        <w:tab w:val="num" w:pos="3402"/>
      </w:tabs>
    </w:pPr>
  </w:style>
  <w:style w:type="paragraph" w:customStyle="1" w:styleId="ab">
    <w:name w:val="Абзац документа"/>
    <w:basedOn w:val="a"/>
    <w:qFormat/>
    <w:rsid w:val="00426EED"/>
    <w:pPr>
      <w:ind w:firstLine="567"/>
      <w:jc w:val="both"/>
    </w:pPr>
    <w:rPr>
      <w:rFonts w:eastAsia="Times New Roman" w:cs="Times New Roman"/>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4428</Words>
  <Characters>2525</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Okhrymchuk Irina</cp:lastModifiedBy>
  <cp:revision>18</cp:revision>
  <cp:lastPrinted>2024-05-21T05:47:00Z</cp:lastPrinted>
  <dcterms:created xsi:type="dcterms:W3CDTF">2024-04-11T08:32:00Z</dcterms:created>
  <dcterms:modified xsi:type="dcterms:W3CDTF">2024-06-11T04:50:00Z</dcterms:modified>
</cp:coreProperties>
</file>