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03718E" w:rsidRPr="000070DA" w:rsidRDefault="0003718E" w:rsidP="0003718E">
      <w:pPr>
        <w:jc w:val="center"/>
        <w:rPr>
          <w:rFonts w:eastAsia="Times New Roman" w:cs="Times New Roman"/>
          <w:sz w:val="24"/>
          <w:szCs w:val="24"/>
          <w:lang w:eastAsia="uk-UA"/>
        </w:rPr>
      </w:pP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5"/>
          <w:bCs/>
          <w:sz w:val="20"/>
          <w:szCs w:val="20"/>
        </w:rPr>
      </w:pPr>
      <w:r w:rsidRPr="002B4A84">
        <w:rPr>
          <w:rStyle w:val="a5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7E6D2F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0"/>
          <w:szCs w:val="20"/>
          <w:u w:val="single"/>
          <w:lang w:eastAsia="uk-UA"/>
        </w:rPr>
      </w:pPr>
      <w:r w:rsidRPr="00F358F7">
        <w:rPr>
          <w:rStyle w:val="a5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7E6D2F">
        <w:rPr>
          <w:rStyle w:val="a5"/>
          <w:b/>
          <w:bCs/>
          <w:sz w:val="20"/>
          <w:szCs w:val="20"/>
          <w:u w:val="single"/>
        </w:rPr>
        <w:t>Держмитслужба м. Київ , вул. Дегтярівська, 11г, ЄДРПОУ 43115923.</w:t>
      </w:r>
    </w:p>
    <w:p w:rsidR="005527AD" w:rsidRPr="00484A35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Pr="00484A35">
        <w:rPr>
          <w:sz w:val="24"/>
          <w:szCs w:val="24"/>
          <w:u w:val="single"/>
          <w:lang w:val="en-US"/>
        </w:rPr>
        <w:t>UA</w:t>
      </w:r>
      <w:r w:rsidRPr="00484A35">
        <w:rPr>
          <w:sz w:val="24"/>
          <w:szCs w:val="24"/>
          <w:u w:val="single"/>
          <w:lang w:val="ru-RU"/>
        </w:rPr>
        <w:t>-2024-</w:t>
      </w:r>
      <w:r w:rsidR="00C11688">
        <w:rPr>
          <w:sz w:val="24"/>
          <w:szCs w:val="24"/>
          <w:u w:val="single"/>
          <w:lang w:val="ru-RU"/>
        </w:rPr>
        <w:t>09</w:t>
      </w:r>
      <w:r w:rsidRPr="00484A35">
        <w:rPr>
          <w:sz w:val="24"/>
          <w:szCs w:val="24"/>
          <w:u w:val="single"/>
          <w:lang w:val="ru-RU"/>
        </w:rPr>
        <w:t>-</w:t>
      </w:r>
      <w:r w:rsidR="00C11688">
        <w:rPr>
          <w:sz w:val="24"/>
          <w:szCs w:val="24"/>
          <w:u w:val="single"/>
          <w:lang w:val="ru-RU"/>
        </w:rPr>
        <w:t>27</w:t>
      </w:r>
      <w:r w:rsidRPr="00484A35">
        <w:rPr>
          <w:sz w:val="24"/>
          <w:szCs w:val="24"/>
          <w:u w:val="single"/>
          <w:lang w:val="ru-RU"/>
        </w:rPr>
        <w:t>-</w:t>
      </w:r>
      <w:r w:rsidR="00E64C46">
        <w:rPr>
          <w:sz w:val="24"/>
          <w:szCs w:val="24"/>
          <w:u w:val="single"/>
          <w:lang w:val="en-US"/>
        </w:rPr>
        <w:t>008766</w:t>
      </w:r>
      <w:r w:rsidRPr="00484A35">
        <w:rPr>
          <w:sz w:val="24"/>
          <w:szCs w:val="24"/>
          <w:u w:val="single"/>
          <w:lang w:val="ru-RU"/>
        </w:rPr>
        <w:t>-</w:t>
      </w:r>
      <w:r w:rsidRPr="00484A35">
        <w:rPr>
          <w:sz w:val="24"/>
          <w:szCs w:val="24"/>
          <w:u w:val="single"/>
          <w:lang w:val="en-US"/>
        </w:rPr>
        <w:t>a</w:t>
      </w:r>
      <w:r w:rsidRPr="00484A35">
        <w:rPr>
          <w:sz w:val="24"/>
          <w:szCs w:val="24"/>
          <w:u w:val="single"/>
        </w:rPr>
        <w:t xml:space="preserve"> </w:t>
      </w:r>
      <w:r w:rsidRPr="00484A35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 xml:space="preserve"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</w:t>
      </w:r>
      <w:proofErr w:type="spellStart"/>
      <w:r w:rsidRPr="009D0146">
        <w:rPr>
          <w:rFonts w:cs="Times New Roman"/>
          <w:sz w:val="24"/>
          <w:szCs w:val="24"/>
        </w:rPr>
        <w:t>закупівель</w:t>
      </w:r>
      <w:proofErr w:type="spellEnd"/>
      <w:r w:rsidRPr="009D0146">
        <w:rPr>
          <w:rFonts w:cs="Times New Roman"/>
          <w:sz w:val="24"/>
          <w:szCs w:val="24"/>
        </w:rPr>
        <w:t xml:space="preserve">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3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E64C46" w:rsidRPr="00E64C46" w:rsidRDefault="00E64C46" w:rsidP="00E64C46">
      <w:pPr>
        <w:tabs>
          <w:tab w:val="left" w:pos="9072"/>
        </w:tabs>
        <w:ind w:firstLine="567"/>
        <w:jc w:val="both"/>
        <w:rPr>
          <w:rFonts w:cs="Times New Roman"/>
          <w:color w:val="000000" w:themeColor="text1"/>
          <w:sz w:val="24"/>
          <w:szCs w:val="24"/>
          <w:lang w:eastAsia="zh-CN"/>
        </w:rPr>
      </w:pPr>
      <w:r w:rsidRPr="00E64C46">
        <w:rPr>
          <w:rFonts w:cs="Times New Roman"/>
          <w:sz w:val="24"/>
          <w:szCs w:val="24"/>
          <w:lang w:eastAsia="zh-CN"/>
        </w:rPr>
        <w:t xml:space="preserve">постачання програмного забезпечення Системи запобігання витоку інформації та контролю даних </w:t>
      </w:r>
      <w:proofErr w:type="spellStart"/>
      <w:r w:rsidRPr="00E64C46">
        <w:rPr>
          <w:rFonts w:cs="Times New Roman"/>
          <w:bCs/>
          <w:sz w:val="24"/>
          <w:szCs w:val="24"/>
          <w:lang w:eastAsia="zh-CN"/>
        </w:rPr>
        <w:t>Data</w:t>
      </w:r>
      <w:proofErr w:type="spellEnd"/>
      <w:r w:rsidRPr="00E64C46">
        <w:rPr>
          <w:rFonts w:cs="Times New Roman"/>
          <w:bCs/>
          <w:sz w:val="24"/>
          <w:szCs w:val="24"/>
          <w:lang w:eastAsia="zh-CN"/>
        </w:rPr>
        <w:t xml:space="preserve"> L</w:t>
      </w:r>
      <w:proofErr w:type="spellStart"/>
      <w:r w:rsidRPr="00E64C46">
        <w:rPr>
          <w:rFonts w:cs="Times New Roman"/>
          <w:bCs/>
          <w:sz w:val="24"/>
          <w:szCs w:val="24"/>
          <w:lang w:val="en-US" w:eastAsia="zh-CN"/>
        </w:rPr>
        <w:t>eak</w:t>
      </w:r>
      <w:proofErr w:type="spellEnd"/>
      <w:r w:rsidRPr="00E64C46">
        <w:rPr>
          <w:rFonts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E64C46">
        <w:rPr>
          <w:rFonts w:cs="Times New Roman"/>
          <w:bCs/>
          <w:sz w:val="24"/>
          <w:szCs w:val="24"/>
          <w:lang w:eastAsia="zh-CN"/>
        </w:rPr>
        <w:t>Prevention</w:t>
      </w:r>
      <w:proofErr w:type="spellEnd"/>
      <w:r w:rsidRPr="00E64C46">
        <w:rPr>
          <w:rFonts w:cs="Times New Roman"/>
          <w:bCs/>
          <w:sz w:val="24"/>
          <w:szCs w:val="24"/>
          <w:lang w:eastAsia="zh-CN"/>
        </w:rPr>
        <w:t xml:space="preserve"> (</w:t>
      </w:r>
      <w:r w:rsidRPr="00E64C46">
        <w:rPr>
          <w:rFonts w:cs="Times New Roman"/>
          <w:bCs/>
          <w:sz w:val="24"/>
          <w:szCs w:val="24"/>
          <w:lang w:val="en-US" w:eastAsia="zh-CN"/>
        </w:rPr>
        <w:t>DLP</w:t>
      </w:r>
      <w:r w:rsidRPr="00E64C46">
        <w:rPr>
          <w:rFonts w:cs="Times New Roman"/>
          <w:bCs/>
          <w:sz w:val="24"/>
          <w:szCs w:val="24"/>
          <w:lang w:eastAsia="zh-CN"/>
        </w:rPr>
        <w:t>) та послуги з його впровадження</w:t>
      </w:r>
      <w:r w:rsidRPr="00E64C46">
        <w:rPr>
          <w:rFonts w:cs="Times New Roman"/>
          <w:sz w:val="24"/>
          <w:szCs w:val="24"/>
          <w:lang w:eastAsia="zh-CN"/>
        </w:rPr>
        <w:t>,</w:t>
      </w:r>
      <w:r w:rsidRPr="00E64C46">
        <w:rPr>
          <w:rFonts w:cs="Times New Roman"/>
          <w:color w:val="000000" w:themeColor="text1"/>
          <w:sz w:val="24"/>
          <w:szCs w:val="24"/>
          <w:lang w:eastAsia="zh-CN"/>
        </w:rPr>
        <w:t xml:space="preserve"> код ДК 021:2015-72260000-5 (Послуги, пов’язані з програмним забезпеченням)</w:t>
      </w:r>
    </w:p>
    <w:p w:rsidR="00C11688" w:rsidRDefault="00C11688" w:rsidP="00C11688">
      <w:pPr>
        <w:ind w:firstLine="426"/>
        <w:jc w:val="both"/>
        <w:rPr>
          <w:rFonts w:ascii="TimesNewRomanPSMT" w:hAnsi="TimesNewRomanPSMT" w:cs="TimesNewRomanPSMT"/>
          <w:sz w:val="24"/>
          <w:szCs w:val="24"/>
        </w:rPr>
      </w:pPr>
    </w:p>
    <w:p w:rsidR="0003718E" w:rsidRDefault="00C11688" w:rsidP="00C11688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</w:t>
      </w:r>
      <w:r w:rsidR="0003718E" w:rsidRPr="00C11688">
        <w:rPr>
          <w:rFonts w:cs="Times New Roman"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законодавства).</w:t>
      </w:r>
    </w:p>
    <w:p w:rsidR="00E64C46" w:rsidRPr="00E64C46" w:rsidRDefault="00E64C46" w:rsidP="00E64C46">
      <w:pPr>
        <w:pStyle w:val="3"/>
        <w:shd w:val="clear" w:color="auto" w:fill="auto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sz w:val="24"/>
          <w:szCs w:val="24"/>
        </w:rPr>
      </w:pPr>
      <w:bookmarkStart w:id="0" w:name="_Hlk75123297"/>
      <w:r w:rsidRPr="00E64C46">
        <w:rPr>
          <w:rFonts w:eastAsia="Calibri"/>
          <w:sz w:val="24"/>
          <w:szCs w:val="24"/>
        </w:rPr>
        <w:t xml:space="preserve">Основною метою закупівлі </w:t>
      </w:r>
      <w:r w:rsidRPr="00E64C46">
        <w:rPr>
          <w:rFonts w:cs="Times New Roman"/>
          <w:sz w:val="24"/>
          <w:szCs w:val="24"/>
          <w:lang w:eastAsia="zh-CN"/>
        </w:rPr>
        <w:t xml:space="preserve">програмного забезпечення Системи запобігання витоку інформації та контролю даних </w:t>
      </w:r>
      <w:proofErr w:type="spellStart"/>
      <w:r w:rsidRPr="00E64C46">
        <w:rPr>
          <w:rFonts w:cs="Times New Roman"/>
          <w:bCs/>
          <w:sz w:val="24"/>
          <w:szCs w:val="24"/>
          <w:lang w:eastAsia="zh-CN"/>
        </w:rPr>
        <w:t>Data</w:t>
      </w:r>
      <w:proofErr w:type="spellEnd"/>
      <w:r w:rsidRPr="00E64C46">
        <w:rPr>
          <w:rFonts w:cs="Times New Roman"/>
          <w:bCs/>
          <w:sz w:val="24"/>
          <w:szCs w:val="24"/>
          <w:lang w:eastAsia="zh-CN"/>
        </w:rPr>
        <w:t xml:space="preserve"> L</w:t>
      </w:r>
      <w:proofErr w:type="spellStart"/>
      <w:r w:rsidRPr="00E64C46">
        <w:rPr>
          <w:rFonts w:cs="Times New Roman"/>
          <w:bCs/>
          <w:sz w:val="24"/>
          <w:szCs w:val="24"/>
          <w:lang w:val="en-US" w:eastAsia="zh-CN"/>
        </w:rPr>
        <w:t>eak</w:t>
      </w:r>
      <w:proofErr w:type="spellEnd"/>
      <w:r w:rsidRPr="00E64C46">
        <w:rPr>
          <w:rFonts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E64C46">
        <w:rPr>
          <w:rFonts w:cs="Times New Roman"/>
          <w:bCs/>
          <w:sz w:val="24"/>
          <w:szCs w:val="24"/>
          <w:lang w:eastAsia="zh-CN"/>
        </w:rPr>
        <w:t>Prevention</w:t>
      </w:r>
      <w:proofErr w:type="spellEnd"/>
      <w:r w:rsidRPr="00E64C46">
        <w:rPr>
          <w:rFonts w:cs="Times New Roman"/>
          <w:bCs/>
          <w:sz w:val="24"/>
          <w:szCs w:val="24"/>
          <w:lang w:eastAsia="zh-CN"/>
        </w:rPr>
        <w:t xml:space="preserve"> (</w:t>
      </w:r>
      <w:r w:rsidRPr="00E64C46">
        <w:rPr>
          <w:rFonts w:cs="Times New Roman"/>
          <w:bCs/>
          <w:sz w:val="24"/>
          <w:szCs w:val="24"/>
          <w:lang w:val="en-US" w:eastAsia="zh-CN"/>
        </w:rPr>
        <w:t>DLP</w:t>
      </w:r>
      <w:r w:rsidRPr="00E64C46">
        <w:rPr>
          <w:rFonts w:cs="Times New Roman"/>
          <w:bCs/>
          <w:sz w:val="24"/>
          <w:szCs w:val="24"/>
          <w:lang w:eastAsia="zh-CN"/>
        </w:rPr>
        <w:t>) та послуг з його впровадження (далі – Програмне забезпечення)</w:t>
      </w:r>
      <w:r w:rsidRPr="00E64C46">
        <w:rPr>
          <w:rFonts w:eastAsia="Calibri"/>
          <w:sz w:val="24"/>
          <w:szCs w:val="24"/>
        </w:rPr>
        <w:t xml:space="preserve"> є запобігання навмисним і випадковим витокам конфіденційної інформації </w:t>
      </w:r>
      <w:r w:rsidRPr="00E64C46">
        <w:rPr>
          <w:sz w:val="24"/>
          <w:szCs w:val="24"/>
        </w:rPr>
        <w:t>із інформаційно-комунікаційних систем Державної митної служби України.</w:t>
      </w:r>
    </w:p>
    <w:p w:rsidR="00E64C46" w:rsidRPr="00E64C46" w:rsidRDefault="00E64C46" w:rsidP="00E64C46">
      <w:pPr>
        <w:pStyle w:val="3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E64C46">
        <w:rPr>
          <w:sz w:val="24"/>
          <w:szCs w:val="24"/>
        </w:rPr>
        <w:t xml:space="preserve">Придбання Програмного забезпечення дозволить захистити робочі станції користувачів, сервери та забезпечити безперебійне функціювання бізнес критичних сервісів, що наддасть змогу більш </w:t>
      </w:r>
      <w:proofErr w:type="spellStart"/>
      <w:r w:rsidRPr="00E64C46">
        <w:rPr>
          <w:sz w:val="24"/>
          <w:szCs w:val="24"/>
        </w:rPr>
        <w:t>оперативно</w:t>
      </w:r>
      <w:proofErr w:type="spellEnd"/>
      <w:r w:rsidRPr="00E64C46">
        <w:rPr>
          <w:sz w:val="24"/>
          <w:szCs w:val="24"/>
        </w:rPr>
        <w:t xml:space="preserve"> та ефективно надавати інформацію та підвищити безпеку та схоронність даних. </w:t>
      </w:r>
    </w:p>
    <w:p w:rsidR="00E64C46" w:rsidRPr="00E64C46" w:rsidRDefault="00E64C46" w:rsidP="00E64C46">
      <w:pPr>
        <w:pStyle w:val="3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E64C46">
        <w:rPr>
          <w:sz w:val="24"/>
          <w:szCs w:val="24"/>
        </w:rPr>
        <w:t>Серед головних завдань Програмного забезпечення можна виділити:</w:t>
      </w:r>
    </w:p>
    <w:p w:rsidR="00E64C46" w:rsidRPr="00E64C46" w:rsidRDefault="00E64C46" w:rsidP="00E64C46">
      <w:pPr>
        <w:pStyle w:val="3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E64C46">
        <w:rPr>
          <w:sz w:val="24"/>
          <w:szCs w:val="24"/>
        </w:rPr>
        <w:t xml:space="preserve">- організація захисту робочих станцій кінцевих користувачів та серверів від складних та невідомих </w:t>
      </w:r>
      <w:proofErr w:type="spellStart"/>
      <w:r w:rsidRPr="00E64C46">
        <w:rPr>
          <w:sz w:val="24"/>
          <w:szCs w:val="24"/>
        </w:rPr>
        <w:t>кібер</w:t>
      </w:r>
      <w:proofErr w:type="spellEnd"/>
      <w:r w:rsidRPr="00E64C46">
        <w:rPr>
          <w:sz w:val="24"/>
          <w:szCs w:val="24"/>
        </w:rPr>
        <w:t xml:space="preserve"> загроз та внутрішніх зловмисників, відстеження поведінки зловмисного ПЗ та реагування на </w:t>
      </w:r>
      <w:proofErr w:type="spellStart"/>
      <w:r w:rsidRPr="00E64C46">
        <w:rPr>
          <w:sz w:val="24"/>
          <w:szCs w:val="24"/>
        </w:rPr>
        <w:t>кібер</w:t>
      </w:r>
      <w:proofErr w:type="spellEnd"/>
      <w:r w:rsidRPr="00E64C46">
        <w:rPr>
          <w:sz w:val="24"/>
          <w:szCs w:val="24"/>
        </w:rPr>
        <w:t xml:space="preserve"> загрози</w:t>
      </w:r>
    </w:p>
    <w:p w:rsidR="00E64C46" w:rsidRPr="00E64C46" w:rsidRDefault="00E64C46" w:rsidP="00E64C46">
      <w:pPr>
        <w:pStyle w:val="3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E64C46">
        <w:rPr>
          <w:sz w:val="24"/>
          <w:szCs w:val="24"/>
        </w:rPr>
        <w:t>- надання можливості пошуку конфіденційної інформації, що знаходиться на робочих станціях та файлових серверах (з можливістю переміщення знайдених файлів в карантин та залишення на місці таких файлів інформації /текстових файлів/ про причини такого переміщення)</w:t>
      </w:r>
    </w:p>
    <w:p w:rsidR="00E64C46" w:rsidRPr="00E64C46" w:rsidRDefault="00E64C46" w:rsidP="00E64C46">
      <w:pPr>
        <w:pStyle w:val="3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E64C46">
        <w:rPr>
          <w:sz w:val="24"/>
          <w:szCs w:val="24"/>
        </w:rPr>
        <w:t>- забезпечення функціоналу захисту кінцевих точок від витоків інформації з кінцевих пристроїв та контролю витоку конфіденційних даних мережевими каналами</w:t>
      </w:r>
    </w:p>
    <w:p w:rsidR="00E64C46" w:rsidRPr="00E64C46" w:rsidRDefault="00E64C46" w:rsidP="00E64C46">
      <w:pPr>
        <w:pStyle w:val="3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E64C46">
        <w:rPr>
          <w:sz w:val="24"/>
          <w:szCs w:val="24"/>
        </w:rPr>
        <w:t xml:space="preserve">- забезпечення інструментів реакції на інциденти: автоматичне повідомлення відповідальної особи або власника інформації, блокування відправки по електронній пошті, блокування відправки даних через веб-форми, виконання </w:t>
      </w:r>
      <w:proofErr w:type="spellStart"/>
      <w:r w:rsidRPr="00E64C46">
        <w:rPr>
          <w:sz w:val="24"/>
          <w:szCs w:val="24"/>
        </w:rPr>
        <w:t>скрипту</w:t>
      </w:r>
      <w:proofErr w:type="spellEnd"/>
      <w:r w:rsidRPr="00E64C46">
        <w:rPr>
          <w:sz w:val="24"/>
          <w:szCs w:val="24"/>
        </w:rPr>
        <w:t>, видалення конфіденційної інформації, можливість ескалації інциденту та запуску додаткових дій</w:t>
      </w:r>
    </w:p>
    <w:p w:rsidR="00E64C46" w:rsidRPr="00E64C46" w:rsidRDefault="00E64C46" w:rsidP="00E64C46">
      <w:pPr>
        <w:pStyle w:val="3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E64C46">
        <w:rPr>
          <w:sz w:val="24"/>
          <w:szCs w:val="24"/>
        </w:rPr>
        <w:t>- забезпечення класифікації файлів, текстових документів та зображень при пошуку даних у стані спокою та в русі, контроль копіювання файлів на рівні буферу обміну, блокування таких операцій в залежності від рівня класифікації файлу.</w:t>
      </w:r>
    </w:p>
    <w:p w:rsidR="00E64C46" w:rsidRPr="00E64C46" w:rsidRDefault="00E64C46" w:rsidP="00E64C46">
      <w:pPr>
        <w:pStyle w:val="3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E64C46">
        <w:rPr>
          <w:sz w:val="24"/>
          <w:szCs w:val="24"/>
        </w:rPr>
        <w:t>- контроль каналів потенційного витоку конфіденційної інформації: вихідні SMTP-з'єднання, вихідні HTTP-з'єднання, вихідні HTTPS-з'єднання, вихідні IM-з'єднання, копіювання інформації на зовнішні носії інформації та інформаційні ресурси, друк інформації на локальному\мережевому принтері.</w:t>
      </w:r>
    </w:p>
    <w:bookmarkEnd w:id="0"/>
    <w:p w:rsidR="00E64C46" w:rsidRPr="00E64C46" w:rsidRDefault="00E64C46" w:rsidP="00E64C46">
      <w:pPr>
        <w:pStyle w:val="3"/>
        <w:shd w:val="clear" w:color="auto" w:fill="auto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iCs/>
          <w:sz w:val="24"/>
          <w:szCs w:val="24"/>
        </w:rPr>
      </w:pPr>
      <w:r w:rsidRPr="00E64C46">
        <w:rPr>
          <w:iCs/>
          <w:sz w:val="24"/>
          <w:szCs w:val="24"/>
        </w:rPr>
        <w:t xml:space="preserve">Придбання та впровадження Програмного забезпечення дозволить забезпечувати виявлення і запобігання випадкам витоку конфіденційної інформації при використанні типових засобів обміну даними, в тому числі корпоративної електронної пошти, </w:t>
      </w:r>
      <w:proofErr w:type="spellStart"/>
      <w:r w:rsidRPr="00E64C46">
        <w:rPr>
          <w:iCs/>
          <w:sz w:val="24"/>
          <w:szCs w:val="24"/>
        </w:rPr>
        <w:t>We</w:t>
      </w:r>
      <w:proofErr w:type="spellEnd"/>
      <w:r w:rsidRPr="00E64C46">
        <w:rPr>
          <w:iCs/>
          <w:sz w:val="24"/>
          <w:szCs w:val="24"/>
          <w:lang w:val="la-Latn"/>
        </w:rPr>
        <w:t>b</w:t>
      </w:r>
      <w:r w:rsidRPr="00E64C46">
        <w:rPr>
          <w:iCs/>
          <w:sz w:val="24"/>
          <w:szCs w:val="24"/>
        </w:rPr>
        <w:t xml:space="preserve">-пошти, мережевого друку, записів електронних даних на знімні носії, передачі конфіденційної інформації на внутрішні та зовнішні ресурси (в тому числі -файлові та хмарні сервіси), в тому </w:t>
      </w:r>
      <w:r w:rsidRPr="00E64C46">
        <w:rPr>
          <w:iCs/>
          <w:sz w:val="24"/>
          <w:szCs w:val="24"/>
        </w:rPr>
        <w:lastRenderedPageBreak/>
        <w:t>числі ресурси та сервіси Office 365.</w:t>
      </w:r>
    </w:p>
    <w:p w:rsidR="00E64C46" w:rsidRPr="00E64C46" w:rsidRDefault="00E64C46" w:rsidP="00E64C46">
      <w:pPr>
        <w:pStyle w:val="3"/>
        <w:shd w:val="clear" w:color="auto" w:fill="auto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E64C46">
        <w:rPr>
          <w:color w:val="000000"/>
          <w:sz w:val="24"/>
          <w:szCs w:val="24"/>
          <w:shd w:val="clear" w:color="auto" w:fill="FFFFFF"/>
        </w:rPr>
        <w:t xml:space="preserve">У результаті придбання Програмного забезпечення будуть вирішені наступні задачі з </w:t>
      </w:r>
      <w:proofErr w:type="spellStart"/>
      <w:r w:rsidRPr="00E64C46">
        <w:rPr>
          <w:color w:val="000000"/>
          <w:sz w:val="24"/>
          <w:szCs w:val="24"/>
          <w:shd w:val="clear" w:color="auto" w:fill="FFFFFF"/>
        </w:rPr>
        <w:t>кіберзахисту</w:t>
      </w:r>
      <w:proofErr w:type="spellEnd"/>
      <w:r w:rsidRPr="00E64C46">
        <w:rPr>
          <w:color w:val="000000"/>
          <w:sz w:val="24"/>
          <w:szCs w:val="24"/>
          <w:shd w:val="clear" w:color="auto" w:fill="FFFFFF"/>
        </w:rPr>
        <w:t xml:space="preserve"> даних: </w:t>
      </w:r>
    </w:p>
    <w:p w:rsidR="00E64C46" w:rsidRPr="00E64C46" w:rsidRDefault="00E64C46" w:rsidP="00E64C46">
      <w:pPr>
        <w:pStyle w:val="3"/>
        <w:shd w:val="clear" w:color="auto" w:fill="auto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E64C46">
        <w:rPr>
          <w:color w:val="000000"/>
          <w:sz w:val="24"/>
          <w:szCs w:val="24"/>
          <w:shd w:val="clear" w:color="auto" w:fill="FFFFFF"/>
        </w:rPr>
        <w:t xml:space="preserve">• Запобігання комплексним атакам, збір необроблених метаданих подій для автоматичного розпізнавання шкідливої діяльності, забезпечення видимості процесів, активне полювання на загрози та криміналістичне розслідування; </w:t>
      </w:r>
    </w:p>
    <w:p w:rsidR="00E64C46" w:rsidRPr="00E64C46" w:rsidRDefault="00E64C46" w:rsidP="00E64C46">
      <w:pPr>
        <w:pStyle w:val="3"/>
        <w:shd w:val="clear" w:color="auto" w:fill="auto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E64C46">
        <w:rPr>
          <w:color w:val="000000"/>
          <w:sz w:val="24"/>
          <w:szCs w:val="24"/>
          <w:shd w:val="clear" w:color="auto" w:fill="FFFFFF"/>
        </w:rPr>
        <w:t xml:space="preserve">• Забезпечення потужної реакції на </w:t>
      </w:r>
      <w:proofErr w:type="spellStart"/>
      <w:r w:rsidRPr="00E64C46">
        <w:rPr>
          <w:color w:val="000000"/>
          <w:sz w:val="24"/>
          <w:szCs w:val="24"/>
          <w:shd w:val="clear" w:color="auto" w:fill="FFFFFF"/>
        </w:rPr>
        <w:t>кібер</w:t>
      </w:r>
      <w:proofErr w:type="spellEnd"/>
      <w:r w:rsidRPr="00E64C46">
        <w:rPr>
          <w:color w:val="000000"/>
          <w:sz w:val="24"/>
          <w:szCs w:val="24"/>
          <w:shd w:val="clear" w:color="auto" w:fill="FFFFFF"/>
        </w:rPr>
        <w:t xml:space="preserve"> інциденти, ізоляції, дослідження та оновлення скомпрометованих кінцевих пристроїв користувачів; </w:t>
      </w:r>
    </w:p>
    <w:p w:rsidR="00E64C46" w:rsidRPr="00E64C46" w:rsidRDefault="00E64C46" w:rsidP="00E64C46">
      <w:pPr>
        <w:pStyle w:val="3"/>
        <w:shd w:val="clear" w:color="auto" w:fill="auto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E64C46">
        <w:rPr>
          <w:color w:val="000000"/>
          <w:sz w:val="24"/>
          <w:szCs w:val="24"/>
          <w:shd w:val="clear" w:color="auto" w:fill="FFFFFF"/>
        </w:rPr>
        <w:t xml:space="preserve">• Виявлення втрати даних у разі передачі файлів з кінцевої точки на мобільний пристрій; </w:t>
      </w:r>
    </w:p>
    <w:p w:rsidR="00E64C46" w:rsidRPr="00E64C46" w:rsidRDefault="00E64C46" w:rsidP="00E64C46">
      <w:pPr>
        <w:pStyle w:val="3"/>
        <w:shd w:val="clear" w:color="auto" w:fill="auto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E64C46">
        <w:rPr>
          <w:color w:val="000000"/>
          <w:sz w:val="24"/>
          <w:szCs w:val="24"/>
          <w:shd w:val="clear" w:color="auto" w:fill="FFFFFF"/>
        </w:rPr>
        <w:t xml:space="preserve">• Відстеження користувачів з високими правами дозволу; </w:t>
      </w:r>
    </w:p>
    <w:p w:rsidR="00E64C46" w:rsidRPr="00E64C46" w:rsidRDefault="00E64C46" w:rsidP="00E64C46">
      <w:pPr>
        <w:pStyle w:val="3"/>
        <w:shd w:val="clear" w:color="auto" w:fill="auto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E64C46">
        <w:rPr>
          <w:color w:val="000000"/>
          <w:sz w:val="24"/>
          <w:szCs w:val="24"/>
          <w:shd w:val="clear" w:color="auto" w:fill="FFFFFF"/>
        </w:rPr>
        <w:t xml:space="preserve">• Можливість класифікувати файли та контролювати витоки за рівнем класифікації; </w:t>
      </w:r>
    </w:p>
    <w:p w:rsidR="00E64C46" w:rsidRPr="00E64C46" w:rsidRDefault="00E64C46" w:rsidP="00E64C46">
      <w:pPr>
        <w:pStyle w:val="3"/>
        <w:shd w:val="clear" w:color="auto" w:fill="auto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E64C46">
        <w:rPr>
          <w:color w:val="000000"/>
          <w:sz w:val="24"/>
          <w:szCs w:val="24"/>
          <w:shd w:val="clear" w:color="auto" w:fill="FFFFFF"/>
        </w:rPr>
        <w:t xml:space="preserve">• Можливість блокувати передачу конфіденційних даних з ПК у папку спільного використання </w:t>
      </w:r>
      <w:proofErr w:type="spellStart"/>
      <w:r w:rsidRPr="00E64C46">
        <w:rPr>
          <w:color w:val="000000"/>
          <w:sz w:val="24"/>
          <w:szCs w:val="24"/>
          <w:shd w:val="clear" w:color="auto" w:fill="FFFFFF"/>
        </w:rPr>
        <w:t>Fileshare</w:t>
      </w:r>
      <w:proofErr w:type="spellEnd"/>
      <w:r w:rsidRPr="00E64C46">
        <w:rPr>
          <w:color w:val="000000"/>
          <w:sz w:val="24"/>
          <w:szCs w:val="24"/>
          <w:shd w:val="clear" w:color="auto" w:fill="FFFFFF"/>
        </w:rPr>
        <w:t xml:space="preserve"> та з </w:t>
      </w:r>
      <w:proofErr w:type="spellStart"/>
      <w:r w:rsidRPr="00E64C46">
        <w:rPr>
          <w:color w:val="000000"/>
          <w:sz w:val="24"/>
          <w:szCs w:val="24"/>
          <w:shd w:val="clear" w:color="auto" w:fill="FFFFFF"/>
        </w:rPr>
        <w:t>Fileshare</w:t>
      </w:r>
      <w:proofErr w:type="spellEnd"/>
      <w:r w:rsidRPr="00E64C46">
        <w:rPr>
          <w:color w:val="000000"/>
          <w:sz w:val="24"/>
          <w:szCs w:val="24"/>
          <w:shd w:val="clear" w:color="auto" w:fill="FFFFFF"/>
        </w:rPr>
        <w:t xml:space="preserve"> на ПК. </w:t>
      </w:r>
    </w:p>
    <w:p w:rsidR="00E64C46" w:rsidRPr="00E64C46" w:rsidRDefault="00E64C46" w:rsidP="00E64C46">
      <w:pPr>
        <w:pStyle w:val="3"/>
        <w:shd w:val="clear" w:color="auto" w:fill="auto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i/>
          <w:iCs/>
          <w:sz w:val="24"/>
          <w:szCs w:val="24"/>
        </w:rPr>
      </w:pPr>
      <w:r w:rsidRPr="00E64C46">
        <w:rPr>
          <w:color w:val="000000"/>
          <w:sz w:val="24"/>
          <w:szCs w:val="24"/>
          <w:shd w:val="clear" w:color="auto" w:fill="FFFFFF"/>
        </w:rPr>
        <w:t>Загалом, буде забезпечено можливість запобігання витоку інформації, захисту конфіденційних даних, контроль та можливість класифікації оперативних й застарілих даних, стеження за виконанням норм й методики дотримання конфіденційності, виконувати аналіз поведінки користувачів щодо роботи з конфіденційною інформацією, розпізнавання даних, попередження втрати цінної інформації. Програмне забезпечення забезпечить можливість побудови гнучкої інфраструктурі для швидкого реагування на внутрішні випадкові і навмисні загрози, та виконання головної функції основна функція DLP-технології — блокування передачі інформації, в рамках існуючого законодавства та згідно внутрішніх норм організації, при цьому буде забезпечено гнучку систему налаштувань й управлінням процесами контроля за даними та користувачами.</w:t>
      </w:r>
    </w:p>
    <w:p w:rsidR="00E64C46" w:rsidRPr="00E64C46" w:rsidRDefault="00E64C46" w:rsidP="00E64C46">
      <w:pPr>
        <w:pStyle w:val="3"/>
        <w:shd w:val="clear" w:color="auto" w:fill="auto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E64C46">
        <w:rPr>
          <w:rFonts w:eastAsia="Calibri"/>
          <w:sz w:val="24"/>
          <w:szCs w:val="24"/>
        </w:rPr>
        <w:t>Побудова рішення, що дозволить в режимі реального часу відслідковувати та керувати адаптивним механізмом дій користувачів, роботою служб та фонових процесів автоматизованих робочих місць.</w:t>
      </w:r>
    </w:p>
    <w:p w:rsidR="00E64C46" w:rsidRPr="00E64C46" w:rsidRDefault="00E64C46" w:rsidP="00E64C46">
      <w:pPr>
        <w:pStyle w:val="3"/>
        <w:shd w:val="clear" w:color="auto" w:fill="auto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eastAsia="Calibri"/>
          <w:sz w:val="24"/>
          <w:szCs w:val="24"/>
          <w:lang w:val="en-US"/>
        </w:rPr>
      </w:pPr>
    </w:p>
    <w:p w:rsidR="0003718E" w:rsidRPr="00CF2B91" w:rsidRDefault="00C11688" w:rsidP="00C11688">
      <w:pPr>
        <w:pStyle w:val="a3"/>
        <w:ind w:left="0"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 w:rsidR="0003718E" w:rsidRPr="00CF2B91">
        <w:rPr>
          <w:rFonts w:cs="Times New Roman"/>
          <w:sz w:val="24"/>
          <w:szCs w:val="24"/>
        </w:rPr>
        <w:t xml:space="preserve">Обґрунтування обсягів закупівлі (відповідно до чого визначено обсяги закупівлі або підставі чого обраховано).Обсяги </w:t>
      </w:r>
      <w:proofErr w:type="spellStart"/>
      <w:r w:rsidR="0003718E" w:rsidRPr="00CF2B91">
        <w:rPr>
          <w:rFonts w:cs="Times New Roman"/>
          <w:sz w:val="24"/>
          <w:szCs w:val="24"/>
        </w:rPr>
        <w:t>закупівель</w:t>
      </w:r>
      <w:proofErr w:type="spellEnd"/>
      <w:r w:rsidR="0003718E" w:rsidRPr="00CF2B91">
        <w:rPr>
          <w:rFonts w:cs="Times New Roman"/>
          <w:sz w:val="24"/>
          <w:szCs w:val="24"/>
        </w:rPr>
        <w:t xml:space="preserve"> визначені відпов</w:t>
      </w:r>
      <w:r>
        <w:rPr>
          <w:rFonts w:cs="Times New Roman"/>
          <w:sz w:val="24"/>
          <w:szCs w:val="24"/>
        </w:rPr>
        <w:t>ідно до потреб замовника на 202</w:t>
      </w:r>
      <w:r w:rsidR="00E64C46">
        <w:rPr>
          <w:rFonts w:cs="Times New Roman"/>
          <w:sz w:val="24"/>
          <w:szCs w:val="24"/>
          <w:lang w:val="en-US"/>
        </w:rPr>
        <w:t>4</w:t>
      </w:r>
      <w:r w:rsidR="0003718E" w:rsidRPr="00CF2B91">
        <w:rPr>
          <w:rFonts w:cs="Times New Roman"/>
          <w:sz w:val="24"/>
          <w:szCs w:val="24"/>
        </w:rPr>
        <w:t xml:space="preserve"> рік.</w:t>
      </w:r>
    </w:p>
    <w:p w:rsidR="00E64C46" w:rsidRPr="00D611B7" w:rsidRDefault="00E64C46" w:rsidP="00E64C46">
      <w:pPr>
        <w:tabs>
          <w:tab w:val="left" w:pos="9639"/>
        </w:tabs>
        <w:spacing w:before="120" w:after="120"/>
        <w:jc w:val="center"/>
        <w:rPr>
          <w:b/>
          <w:noProof/>
          <w:color w:val="000000" w:themeColor="text1"/>
        </w:rPr>
      </w:pPr>
      <w:r>
        <w:rPr>
          <w:b/>
          <w:noProof/>
          <w:color w:val="000000" w:themeColor="text1"/>
        </w:rPr>
        <w:t>ОПИС</w:t>
      </w:r>
      <w:r w:rsidRPr="00D611B7">
        <w:rPr>
          <w:b/>
          <w:noProof/>
          <w:color w:val="000000" w:themeColor="text1"/>
        </w:rPr>
        <w:t xml:space="preserve"> </w:t>
      </w:r>
      <w:r w:rsidRPr="00D611B7">
        <w:rPr>
          <w:b/>
          <w:caps/>
          <w:color w:val="000000" w:themeColor="text1"/>
        </w:rPr>
        <w:t>поСЛУГ</w:t>
      </w:r>
    </w:p>
    <w:tbl>
      <w:tblPr>
        <w:tblStyle w:val="ad"/>
        <w:tblW w:w="9851" w:type="dxa"/>
        <w:tblLook w:val="04A0" w:firstRow="1" w:lastRow="0" w:firstColumn="1" w:lastColumn="0" w:noHBand="0" w:noVBand="1"/>
      </w:tblPr>
      <w:tblGrid>
        <w:gridCol w:w="560"/>
        <w:gridCol w:w="3184"/>
        <w:gridCol w:w="3310"/>
        <w:gridCol w:w="1275"/>
        <w:gridCol w:w="1522"/>
      </w:tblGrid>
      <w:tr w:rsidR="00E64C46" w:rsidRPr="00D611B7" w:rsidTr="0009393F">
        <w:tc>
          <w:tcPr>
            <w:tcW w:w="560" w:type="dxa"/>
          </w:tcPr>
          <w:p w:rsidR="00E64C46" w:rsidRPr="00D611B7" w:rsidRDefault="00E64C46" w:rsidP="0009393F">
            <w:pPr>
              <w:pStyle w:val="8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D611B7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184" w:type="dxa"/>
          </w:tcPr>
          <w:p w:rsidR="00E64C46" w:rsidRPr="00D611B7" w:rsidRDefault="00E64C46" w:rsidP="0009393F">
            <w:pPr>
              <w:pStyle w:val="8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611B7">
              <w:rPr>
                <w:b/>
                <w:color w:val="000000" w:themeColor="text1"/>
                <w:sz w:val="24"/>
                <w:szCs w:val="24"/>
              </w:rPr>
              <w:t>Найменування</w:t>
            </w:r>
          </w:p>
        </w:tc>
        <w:tc>
          <w:tcPr>
            <w:tcW w:w="3310" w:type="dxa"/>
          </w:tcPr>
          <w:p w:rsidR="00E64C46" w:rsidRPr="00D611B7" w:rsidRDefault="00E64C46" w:rsidP="0009393F">
            <w:pPr>
              <w:pStyle w:val="8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611B7">
              <w:rPr>
                <w:b/>
                <w:color w:val="000000" w:themeColor="text1"/>
                <w:sz w:val="24"/>
                <w:szCs w:val="24"/>
              </w:rPr>
              <w:t>Короткий опис</w:t>
            </w:r>
          </w:p>
        </w:tc>
        <w:tc>
          <w:tcPr>
            <w:tcW w:w="1275" w:type="dxa"/>
          </w:tcPr>
          <w:p w:rsidR="00E64C46" w:rsidRPr="00D611B7" w:rsidRDefault="00E64C46" w:rsidP="0009393F">
            <w:pPr>
              <w:pStyle w:val="8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D611B7">
              <w:rPr>
                <w:b/>
                <w:color w:val="000000" w:themeColor="text1"/>
                <w:sz w:val="24"/>
                <w:szCs w:val="24"/>
              </w:rPr>
              <w:t>Кількість</w:t>
            </w:r>
          </w:p>
        </w:tc>
        <w:tc>
          <w:tcPr>
            <w:tcW w:w="1522" w:type="dxa"/>
          </w:tcPr>
          <w:p w:rsidR="00E64C46" w:rsidRPr="00D611B7" w:rsidRDefault="00E64C46" w:rsidP="0009393F">
            <w:pPr>
              <w:pStyle w:val="8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D611B7">
              <w:rPr>
                <w:b/>
                <w:color w:val="000000" w:themeColor="text1"/>
                <w:sz w:val="24"/>
                <w:szCs w:val="24"/>
              </w:rPr>
              <w:t>Примітки</w:t>
            </w:r>
          </w:p>
        </w:tc>
      </w:tr>
      <w:tr w:rsidR="00E64C46" w:rsidRPr="00D611B7" w:rsidTr="0009393F">
        <w:tc>
          <w:tcPr>
            <w:tcW w:w="560" w:type="dxa"/>
          </w:tcPr>
          <w:p w:rsidR="00E64C46" w:rsidRPr="00D611B7" w:rsidRDefault="00E64C46" w:rsidP="0009393F">
            <w:pPr>
              <w:pStyle w:val="8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184" w:type="dxa"/>
          </w:tcPr>
          <w:p w:rsidR="00E64C46" w:rsidRPr="00D739ED" w:rsidRDefault="00E64C46" w:rsidP="0009393F">
            <w:pPr>
              <w:pStyle w:val="8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Постачання п</w:t>
            </w:r>
            <w:r w:rsidRPr="00D739ED">
              <w:rPr>
                <w:bCs/>
                <w:color w:val="000000" w:themeColor="text1"/>
                <w:sz w:val="24"/>
                <w:szCs w:val="24"/>
              </w:rPr>
              <w:t>рограмн</w:t>
            </w:r>
            <w:r>
              <w:rPr>
                <w:bCs/>
                <w:color w:val="000000" w:themeColor="text1"/>
                <w:sz w:val="24"/>
                <w:szCs w:val="24"/>
              </w:rPr>
              <w:t>ого</w:t>
            </w:r>
            <w:r w:rsidRPr="00D739ED">
              <w:rPr>
                <w:bCs/>
                <w:color w:val="000000" w:themeColor="text1"/>
                <w:sz w:val="24"/>
                <w:szCs w:val="24"/>
              </w:rPr>
              <w:t xml:space="preserve"> забезпечення Системи запобіганню витоку інформації </w:t>
            </w:r>
            <w:proofErr w:type="spellStart"/>
            <w:r w:rsidRPr="00D739ED">
              <w:rPr>
                <w:bCs/>
                <w:color w:val="000000" w:themeColor="text1"/>
                <w:sz w:val="24"/>
                <w:szCs w:val="24"/>
              </w:rPr>
              <w:t>Data</w:t>
            </w:r>
            <w:proofErr w:type="spellEnd"/>
            <w:r w:rsidRPr="00D739E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39ED">
              <w:rPr>
                <w:bCs/>
                <w:color w:val="000000" w:themeColor="text1"/>
                <w:sz w:val="24"/>
                <w:szCs w:val="24"/>
              </w:rPr>
              <w:t>Leak</w:t>
            </w:r>
            <w:proofErr w:type="spellEnd"/>
            <w:r w:rsidRPr="00D739E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39ED">
              <w:rPr>
                <w:bCs/>
                <w:color w:val="000000" w:themeColor="text1"/>
                <w:sz w:val="24"/>
                <w:szCs w:val="24"/>
              </w:rPr>
              <w:t>Prevention</w:t>
            </w:r>
            <w:proofErr w:type="spellEnd"/>
            <w:r w:rsidRPr="00D739ED">
              <w:rPr>
                <w:bCs/>
                <w:color w:val="000000" w:themeColor="text1"/>
                <w:sz w:val="24"/>
                <w:szCs w:val="24"/>
              </w:rPr>
              <w:t xml:space="preserve"> (DLP)</w:t>
            </w:r>
            <w:r w:rsidRPr="00D739ED">
              <w:rPr>
                <w:bCs/>
                <w:sz w:val="24"/>
                <w:szCs w:val="24"/>
              </w:rPr>
              <w:t xml:space="preserve"> та послуги з його впровадження для захисту 500 об’єктів</w:t>
            </w:r>
            <w:r>
              <w:rPr>
                <w:bCs/>
                <w:sz w:val="24"/>
                <w:szCs w:val="24"/>
              </w:rPr>
              <w:t>, н</w:t>
            </w:r>
            <w:r w:rsidRPr="00D739ED">
              <w:rPr>
                <w:bCs/>
                <w:sz w:val="24"/>
                <w:szCs w:val="24"/>
              </w:rPr>
              <w:t xml:space="preserve">а 1 рік. </w:t>
            </w:r>
          </w:p>
        </w:tc>
        <w:tc>
          <w:tcPr>
            <w:tcW w:w="3310" w:type="dxa"/>
          </w:tcPr>
          <w:p w:rsidR="00E64C46" w:rsidRPr="00A52213" w:rsidRDefault="00E64C46" w:rsidP="00E64C46">
            <w:pPr>
              <w:pStyle w:val="8"/>
              <w:numPr>
                <w:ilvl w:val="0"/>
                <w:numId w:val="28"/>
              </w:numPr>
              <w:shd w:val="clear" w:color="auto" w:fill="auto"/>
              <w:tabs>
                <w:tab w:val="left" w:pos="-4111"/>
                <w:tab w:val="left" w:pos="259"/>
                <w:tab w:val="left" w:pos="9639"/>
              </w:tabs>
              <w:spacing w:before="0" w:after="0" w:line="240" w:lineRule="auto"/>
              <w:ind w:left="-26" w:firstLine="26"/>
              <w:rPr>
                <w:sz w:val="24"/>
                <w:szCs w:val="24"/>
              </w:rPr>
            </w:pPr>
            <w:r w:rsidRPr="003561E1">
              <w:rPr>
                <w:sz w:val="24"/>
                <w:szCs w:val="24"/>
              </w:rPr>
              <w:t xml:space="preserve"> Програмне забезпечення (ліцензія(ї)) в електронному вигляді для здійснення запобігання навмисним і випадковим витокам конфіденційної інформації із інформаційно-комунікаційних систем Державної митної служби України.</w:t>
            </w:r>
          </w:p>
        </w:tc>
        <w:tc>
          <w:tcPr>
            <w:tcW w:w="1275" w:type="dxa"/>
          </w:tcPr>
          <w:p w:rsidR="00E64C46" w:rsidRDefault="00E64C46" w:rsidP="0009393F">
            <w:pPr>
              <w:pStyle w:val="8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  <w:p w:rsidR="00E64C46" w:rsidRPr="00E55F0B" w:rsidRDefault="00E64C46" w:rsidP="0009393F">
            <w:pPr>
              <w:pStyle w:val="8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комплект</w:t>
            </w:r>
          </w:p>
        </w:tc>
        <w:tc>
          <w:tcPr>
            <w:tcW w:w="1522" w:type="dxa"/>
          </w:tcPr>
          <w:p w:rsidR="00E64C46" w:rsidRPr="00D611B7" w:rsidRDefault="00E64C46" w:rsidP="0009393F">
            <w:pPr>
              <w:pStyle w:val="8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611B7">
              <w:rPr>
                <w:color w:val="000000" w:themeColor="text1"/>
                <w:sz w:val="24"/>
                <w:szCs w:val="24"/>
              </w:rPr>
              <w:t>Детальний опис наведено у таблиці 1</w:t>
            </w:r>
          </w:p>
        </w:tc>
      </w:tr>
    </w:tbl>
    <w:p w:rsidR="0003718E" w:rsidRDefault="0003718E" w:rsidP="0003718E">
      <w:pPr>
        <w:pStyle w:val="a3"/>
        <w:ind w:left="426"/>
        <w:jc w:val="both"/>
        <w:rPr>
          <w:rFonts w:cs="Times New Roman"/>
          <w:sz w:val="24"/>
          <w:szCs w:val="24"/>
        </w:rPr>
      </w:pPr>
      <w:bookmarkStart w:id="1" w:name="_GoBack"/>
      <w:bookmarkEnd w:id="1"/>
    </w:p>
    <w:p w:rsidR="0003718E" w:rsidRDefault="00C11688" w:rsidP="00C11688">
      <w:pPr>
        <w:ind w:left="142"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</w:t>
      </w:r>
      <w:r w:rsidR="0003718E" w:rsidRPr="00C11688">
        <w:rPr>
          <w:rFonts w:cs="Times New Roman"/>
          <w:sz w:val="24"/>
          <w:szCs w:val="24"/>
        </w:rPr>
        <w:t>Обґрунтування технічних та якісних характеристик закупівлі (якісні характеристики)</w:t>
      </w:r>
      <w:r>
        <w:rPr>
          <w:rFonts w:cs="Times New Roman"/>
          <w:sz w:val="24"/>
          <w:szCs w:val="24"/>
        </w:rPr>
        <w:t xml:space="preserve"> в</w:t>
      </w:r>
      <w:r w:rsidR="0003718E" w:rsidRPr="009D0146">
        <w:rPr>
          <w:rFonts w:cs="Times New Roman"/>
          <w:sz w:val="24"/>
          <w:szCs w:val="24"/>
        </w:rPr>
        <w:t xml:space="preserve">изначено відповідно до </w:t>
      </w:r>
      <w:r w:rsidR="0003718E">
        <w:rPr>
          <w:rFonts w:cs="Times New Roman"/>
          <w:sz w:val="24"/>
          <w:szCs w:val="24"/>
        </w:rPr>
        <w:t xml:space="preserve">потреб замовника </w:t>
      </w:r>
      <w:r w:rsidR="0003718E" w:rsidRPr="009D0146">
        <w:rPr>
          <w:rFonts w:cs="Times New Roman"/>
          <w:sz w:val="24"/>
          <w:szCs w:val="24"/>
        </w:rPr>
        <w:t>та з урахуванням загальноприйнятих норм і стандартів для зазначеного предмета закупівлі.</w:t>
      </w:r>
    </w:p>
    <w:p w:rsidR="00F62C35" w:rsidRPr="00B64A51" w:rsidRDefault="00F62C35" w:rsidP="00C11688">
      <w:pPr>
        <w:ind w:left="1134" w:hanging="708"/>
        <w:jc w:val="center"/>
        <w:rPr>
          <w:b/>
          <w:color w:val="000000"/>
          <w:szCs w:val="28"/>
        </w:rPr>
      </w:pPr>
    </w:p>
    <w:p w:rsidR="0003718E" w:rsidRPr="00C11688" w:rsidRDefault="00C11688" w:rsidP="00C11688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</w:t>
      </w:r>
      <w:r w:rsidR="0003718E" w:rsidRPr="00C11688">
        <w:rPr>
          <w:rFonts w:cs="Times New Roman"/>
          <w:sz w:val="24"/>
          <w:szCs w:val="24"/>
        </w:rPr>
        <w:t>Обґрунтування бюджетного призначення та/або очікуваної вартості предмета закупівлі</w:t>
      </w:r>
      <w:r w:rsidR="005527AD" w:rsidRPr="00C11688">
        <w:rPr>
          <w:rFonts w:cs="Times New Roman"/>
          <w:sz w:val="24"/>
          <w:szCs w:val="24"/>
        </w:rPr>
        <w:t>:</w:t>
      </w:r>
      <w:r w:rsidR="0003718E" w:rsidRPr="00C11688">
        <w:rPr>
          <w:rFonts w:cs="Times New Roman"/>
          <w:sz w:val="24"/>
          <w:szCs w:val="24"/>
        </w:rPr>
        <w:t xml:space="preserve"> </w:t>
      </w:r>
    </w:p>
    <w:p w:rsidR="0003718E" w:rsidRPr="00F62C35" w:rsidRDefault="005527AD" w:rsidP="00D34056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484A35">
        <w:rPr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="00984C2C">
        <w:rPr>
          <w:sz w:val="24"/>
          <w:szCs w:val="24"/>
        </w:rPr>
        <w:t xml:space="preserve">             </w:t>
      </w:r>
      <w:r w:rsidR="00F62C35">
        <w:rPr>
          <w:sz w:val="24"/>
          <w:szCs w:val="24"/>
        </w:rPr>
        <w:t xml:space="preserve">                </w:t>
      </w:r>
      <w:r w:rsidR="00984C2C">
        <w:rPr>
          <w:sz w:val="24"/>
          <w:szCs w:val="24"/>
        </w:rPr>
        <w:t xml:space="preserve">    </w:t>
      </w:r>
      <w:r w:rsidR="00E64C46" w:rsidRPr="00E64C46">
        <w:rPr>
          <w:rFonts w:ascii="TimesNewRomanPSMT" w:hAnsi="TimesNewRomanPSMT" w:cs="TimesNewRomanPSMT"/>
          <w:sz w:val="24"/>
          <w:szCs w:val="24"/>
          <w:lang w:val="en-US"/>
        </w:rPr>
        <w:t>1</w:t>
      </w:r>
      <w:r w:rsidR="00E64C46">
        <w:rPr>
          <w:rFonts w:ascii="TimesNewRomanPSMT" w:hAnsi="TimesNewRomanPSMT" w:cs="TimesNewRomanPSMT"/>
          <w:sz w:val="24"/>
          <w:szCs w:val="24"/>
          <w:lang w:val="en-US"/>
        </w:rPr>
        <w:t xml:space="preserve"> 500 000</w:t>
      </w:r>
      <w:r w:rsidR="00C11688">
        <w:rPr>
          <w:rFonts w:ascii="TimesNewRomanPSMT" w:hAnsi="TimesNewRomanPSMT" w:cs="TimesNewRomanPSMT"/>
          <w:sz w:val="24"/>
          <w:szCs w:val="24"/>
        </w:rPr>
        <w:t>,00</w:t>
      </w:r>
      <w:r w:rsidR="00F62C35" w:rsidRPr="00F62C35">
        <w:rPr>
          <w:rFonts w:ascii="TimesNewRomanPSMT" w:hAnsi="TimesNewRomanPSMT" w:cs="TimesNewRomanPSMT"/>
          <w:sz w:val="24"/>
          <w:szCs w:val="24"/>
        </w:rPr>
        <w:t xml:space="preserve"> грн, інформацію стосовно вартості </w:t>
      </w:r>
      <w:r w:rsidR="00C11688">
        <w:rPr>
          <w:rFonts w:ascii="TimesNewRomanPSMT" w:hAnsi="TimesNewRomanPSMT" w:cs="TimesNewRomanPSMT"/>
          <w:sz w:val="24"/>
          <w:szCs w:val="24"/>
        </w:rPr>
        <w:t>послуг</w:t>
      </w:r>
      <w:r w:rsidR="00F62C35" w:rsidRPr="00F62C35">
        <w:rPr>
          <w:rFonts w:ascii="TimesNewRomanPSMT" w:hAnsi="TimesNewRomanPSMT" w:cs="TimesNewRomanPSMT"/>
          <w:sz w:val="24"/>
          <w:szCs w:val="24"/>
        </w:rPr>
        <w:t xml:space="preserve"> сформовано на підставі самостійного</w:t>
      </w:r>
      <w:r w:rsidR="00F62C35">
        <w:rPr>
          <w:rFonts w:ascii="TimesNewRomanPSMT" w:hAnsi="TimesNewRomanPSMT" w:cs="TimesNewRomanPSMT"/>
          <w:sz w:val="24"/>
          <w:szCs w:val="24"/>
        </w:rPr>
        <w:t xml:space="preserve"> </w:t>
      </w:r>
      <w:r w:rsidR="00F62C35" w:rsidRPr="00F62C35">
        <w:rPr>
          <w:rFonts w:ascii="TimesNewRomanPSMT" w:hAnsi="TimesNewRomanPSMT" w:cs="TimesNewRomanPSMT"/>
          <w:sz w:val="24"/>
          <w:szCs w:val="24"/>
        </w:rPr>
        <w:t xml:space="preserve">аналізу цін на аналогічні за технічними характеристиками </w:t>
      </w:r>
      <w:r w:rsidR="00D34056">
        <w:rPr>
          <w:rFonts w:ascii="TimesNewRomanPSMT" w:hAnsi="TimesNewRomanPSMT" w:cs="TimesNewRomanPSMT"/>
          <w:sz w:val="24"/>
          <w:szCs w:val="24"/>
        </w:rPr>
        <w:t>послуги</w:t>
      </w:r>
      <w:r w:rsidR="00F62C35" w:rsidRPr="00F62C35">
        <w:rPr>
          <w:rFonts w:ascii="TimesNewRomanPSMT" w:hAnsi="TimesNewRomanPSMT" w:cs="TimesNewRomanPSMT"/>
          <w:sz w:val="24"/>
          <w:szCs w:val="24"/>
        </w:rPr>
        <w:t>,</w:t>
      </w:r>
      <w:r w:rsidR="00F62C35">
        <w:rPr>
          <w:rFonts w:ascii="TimesNewRomanPSMT" w:hAnsi="TimesNewRomanPSMT" w:cs="TimesNewRomanPSMT"/>
          <w:sz w:val="24"/>
          <w:szCs w:val="24"/>
        </w:rPr>
        <w:t xml:space="preserve"> </w:t>
      </w:r>
      <w:r w:rsidR="00F62C35" w:rsidRPr="00F62C35">
        <w:rPr>
          <w:rFonts w:ascii="TimesNewRomanPSMT" w:hAnsi="TimesNewRomanPSMT" w:cs="TimesNewRomanPSMT"/>
          <w:sz w:val="24"/>
          <w:szCs w:val="24"/>
        </w:rPr>
        <w:t>яка міститься у відкритих джерелах (у тому числі на сайтах виробників та/або</w:t>
      </w:r>
      <w:r w:rsidR="00F62C35">
        <w:rPr>
          <w:rFonts w:ascii="TimesNewRomanPSMT" w:hAnsi="TimesNewRomanPSMT" w:cs="TimesNewRomanPSMT"/>
          <w:sz w:val="24"/>
          <w:szCs w:val="24"/>
        </w:rPr>
        <w:t xml:space="preserve"> </w:t>
      </w:r>
      <w:r w:rsidR="00F62C35" w:rsidRPr="00F62C35">
        <w:rPr>
          <w:rFonts w:ascii="TimesNewRomanPSMT" w:hAnsi="TimesNewRomanPSMT" w:cs="TimesNewRomanPSMT"/>
          <w:sz w:val="24"/>
          <w:szCs w:val="24"/>
        </w:rPr>
        <w:t>постачальників відповідної продукції, спеціалізованих торгівельних</w:t>
      </w:r>
      <w:r w:rsidR="00F62C35">
        <w:rPr>
          <w:rFonts w:ascii="TimesNewRomanPSMT" w:hAnsi="TimesNewRomanPSMT" w:cs="TimesNewRomanPSMT"/>
          <w:sz w:val="24"/>
          <w:szCs w:val="24"/>
        </w:rPr>
        <w:t xml:space="preserve"> </w:t>
      </w:r>
      <w:r w:rsidR="00F62C35" w:rsidRPr="00F62C35">
        <w:rPr>
          <w:rFonts w:ascii="TimesNewRomanPSMT" w:hAnsi="TimesNewRomanPSMT" w:cs="TimesNewRomanPSMT"/>
          <w:sz w:val="24"/>
          <w:szCs w:val="24"/>
        </w:rPr>
        <w:t xml:space="preserve">майданчиках, в електронних каталогах, рекламі, </w:t>
      </w:r>
      <w:proofErr w:type="spellStart"/>
      <w:r w:rsidR="00F62C35" w:rsidRPr="00F62C35">
        <w:rPr>
          <w:rFonts w:ascii="TimesNewRomanPSMT" w:hAnsi="TimesNewRomanPSMT" w:cs="TimesNewRomanPSMT"/>
          <w:sz w:val="24"/>
          <w:szCs w:val="24"/>
        </w:rPr>
        <w:t>прайс</w:t>
      </w:r>
      <w:proofErr w:type="spellEnd"/>
      <w:r w:rsidR="00F62C35" w:rsidRPr="00F62C35">
        <w:rPr>
          <w:rFonts w:ascii="TimesNewRomanPSMT" w:hAnsi="TimesNewRomanPSMT" w:cs="TimesNewRomanPSMT"/>
          <w:sz w:val="24"/>
          <w:szCs w:val="24"/>
        </w:rPr>
        <w:t>-листах, тощо) з</w:t>
      </w:r>
      <w:r w:rsidR="00F62C35">
        <w:rPr>
          <w:rFonts w:ascii="TimesNewRomanPSMT" w:hAnsi="TimesNewRomanPSMT" w:cs="TimesNewRomanPSMT"/>
          <w:sz w:val="24"/>
          <w:szCs w:val="24"/>
        </w:rPr>
        <w:t xml:space="preserve"> </w:t>
      </w:r>
      <w:r w:rsidR="00F62C35" w:rsidRPr="00F62C35">
        <w:rPr>
          <w:rFonts w:ascii="TimesNewRomanPSMT" w:hAnsi="TimesNewRomanPSMT" w:cs="TimesNewRomanPSMT"/>
          <w:sz w:val="24"/>
          <w:szCs w:val="24"/>
        </w:rPr>
        <w:t>урахуванням вимог Примірної методики визначення очікуваної вартості</w:t>
      </w:r>
      <w:r w:rsidR="00F62C35">
        <w:rPr>
          <w:rFonts w:ascii="TimesNewRomanPSMT" w:hAnsi="TimesNewRomanPSMT" w:cs="TimesNewRomanPSMT"/>
          <w:sz w:val="24"/>
          <w:szCs w:val="24"/>
        </w:rPr>
        <w:t xml:space="preserve"> </w:t>
      </w:r>
      <w:r w:rsidR="00F62C35" w:rsidRPr="00F62C35">
        <w:rPr>
          <w:rFonts w:ascii="TimesNewRomanPSMT" w:hAnsi="TimesNewRomanPSMT" w:cs="TimesNewRomanPSMT"/>
          <w:sz w:val="24"/>
          <w:szCs w:val="24"/>
        </w:rPr>
        <w:t>предмета закупівлі, затвердженої наказом Мінекономіки від 18.02.2020 № 275.</w:t>
      </w:r>
      <w:r w:rsidR="00D34056" w:rsidRPr="00D34056">
        <w:rPr>
          <w:rFonts w:ascii="TimesNewRomanPSMT" w:hAnsi="TimesNewRomanPSMT" w:cs="TimesNewRomanPSMT"/>
          <w:sz w:val="24"/>
          <w:szCs w:val="24"/>
        </w:rPr>
        <w:t xml:space="preserve"> </w:t>
      </w:r>
    </w:p>
    <w:sectPr w:rsidR="0003718E" w:rsidRPr="00F62C35" w:rsidSect="00F62C35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633A05"/>
    <w:multiLevelType w:val="hybridMultilevel"/>
    <w:tmpl w:val="0E10D1C8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79FE"/>
    <w:multiLevelType w:val="hybridMultilevel"/>
    <w:tmpl w:val="6C8CA20A"/>
    <w:lvl w:ilvl="0" w:tplc="011E36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46E49"/>
    <w:multiLevelType w:val="hybridMultilevel"/>
    <w:tmpl w:val="8DD8FAC4"/>
    <w:lvl w:ilvl="0" w:tplc="BA60A694">
      <w:start w:val="1"/>
      <w:numFmt w:val="decimal"/>
      <w:lvlText w:val="%1."/>
      <w:lvlJc w:val="left"/>
      <w:pPr>
        <w:ind w:left="821" w:hanging="284"/>
      </w:pPr>
      <w:rPr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AA4A3B0">
      <w:numFmt w:val="bullet"/>
      <w:lvlText w:val="-"/>
      <w:lvlJc w:val="left"/>
      <w:pPr>
        <w:ind w:left="821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2" w:tplc="1E76D5DE">
      <w:numFmt w:val="bullet"/>
      <w:lvlText w:val="•"/>
      <w:lvlJc w:val="left"/>
      <w:pPr>
        <w:ind w:left="2713" w:hanging="208"/>
      </w:pPr>
      <w:rPr>
        <w:rFonts w:hint="default"/>
        <w:lang w:val="uk-UA" w:eastAsia="en-US" w:bidi="ar-SA"/>
      </w:rPr>
    </w:lvl>
    <w:lvl w:ilvl="3" w:tplc="523A159A">
      <w:numFmt w:val="bullet"/>
      <w:lvlText w:val="•"/>
      <w:lvlJc w:val="left"/>
      <w:pPr>
        <w:ind w:left="3659" w:hanging="208"/>
      </w:pPr>
      <w:rPr>
        <w:rFonts w:hint="default"/>
        <w:lang w:val="uk-UA" w:eastAsia="en-US" w:bidi="ar-SA"/>
      </w:rPr>
    </w:lvl>
    <w:lvl w:ilvl="4" w:tplc="2EEEF000">
      <w:numFmt w:val="bullet"/>
      <w:lvlText w:val="•"/>
      <w:lvlJc w:val="left"/>
      <w:pPr>
        <w:ind w:left="4606" w:hanging="208"/>
      </w:pPr>
      <w:rPr>
        <w:rFonts w:hint="default"/>
        <w:lang w:val="uk-UA" w:eastAsia="en-US" w:bidi="ar-SA"/>
      </w:rPr>
    </w:lvl>
    <w:lvl w:ilvl="5" w:tplc="F06053AA">
      <w:numFmt w:val="bullet"/>
      <w:lvlText w:val="•"/>
      <w:lvlJc w:val="left"/>
      <w:pPr>
        <w:ind w:left="5553" w:hanging="208"/>
      </w:pPr>
      <w:rPr>
        <w:rFonts w:hint="default"/>
        <w:lang w:val="uk-UA" w:eastAsia="en-US" w:bidi="ar-SA"/>
      </w:rPr>
    </w:lvl>
    <w:lvl w:ilvl="6" w:tplc="35068D4E">
      <w:numFmt w:val="bullet"/>
      <w:lvlText w:val="•"/>
      <w:lvlJc w:val="left"/>
      <w:pPr>
        <w:ind w:left="6499" w:hanging="208"/>
      </w:pPr>
      <w:rPr>
        <w:rFonts w:hint="default"/>
        <w:lang w:val="uk-UA" w:eastAsia="en-US" w:bidi="ar-SA"/>
      </w:rPr>
    </w:lvl>
    <w:lvl w:ilvl="7" w:tplc="4E4E8868">
      <w:numFmt w:val="bullet"/>
      <w:lvlText w:val="•"/>
      <w:lvlJc w:val="left"/>
      <w:pPr>
        <w:ind w:left="7446" w:hanging="208"/>
      </w:pPr>
      <w:rPr>
        <w:rFonts w:hint="default"/>
        <w:lang w:val="uk-UA" w:eastAsia="en-US" w:bidi="ar-SA"/>
      </w:rPr>
    </w:lvl>
    <w:lvl w:ilvl="8" w:tplc="7988F380">
      <w:numFmt w:val="bullet"/>
      <w:lvlText w:val="•"/>
      <w:lvlJc w:val="left"/>
      <w:pPr>
        <w:ind w:left="8392" w:hanging="208"/>
      </w:pPr>
      <w:rPr>
        <w:rFonts w:hint="default"/>
        <w:lang w:val="uk-UA" w:eastAsia="en-US" w:bidi="ar-SA"/>
      </w:rPr>
    </w:lvl>
  </w:abstractNum>
  <w:abstractNum w:abstractNumId="4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5" w15:restartNumberingAfterBreak="0">
    <w:nsid w:val="1AB70790"/>
    <w:multiLevelType w:val="hybridMultilevel"/>
    <w:tmpl w:val="ABC05358"/>
    <w:lvl w:ilvl="0" w:tplc="0744F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F51FF"/>
    <w:multiLevelType w:val="hybridMultilevel"/>
    <w:tmpl w:val="6306739A"/>
    <w:lvl w:ilvl="0" w:tplc="75B2A0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7216"/>
    <w:multiLevelType w:val="hybridMultilevel"/>
    <w:tmpl w:val="02D0403C"/>
    <w:lvl w:ilvl="0" w:tplc="B676616E">
      <w:numFmt w:val="bullet"/>
      <w:lvlText w:val="•"/>
      <w:lvlJc w:val="left"/>
      <w:pPr>
        <w:ind w:left="821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968A7DA">
      <w:numFmt w:val="bullet"/>
      <w:lvlText w:val="•"/>
      <w:lvlJc w:val="left"/>
      <w:pPr>
        <w:ind w:left="1766" w:hanging="187"/>
      </w:pPr>
      <w:rPr>
        <w:rFonts w:hint="default"/>
        <w:lang w:val="uk-UA" w:eastAsia="en-US" w:bidi="ar-SA"/>
      </w:rPr>
    </w:lvl>
    <w:lvl w:ilvl="2" w:tplc="08B2F3C4">
      <w:numFmt w:val="bullet"/>
      <w:lvlText w:val="•"/>
      <w:lvlJc w:val="left"/>
      <w:pPr>
        <w:ind w:left="2713" w:hanging="187"/>
      </w:pPr>
      <w:rPr>
        <w:rFonts w:hint="default"/>
        <w:lang w:val="uk-UA" w:eastAsia="en-US" w:bidi="ar-SA"/>
      </w:rPr>
    </w:lvl>
    <w:lvl w:ilvl="3" w:tplc="65C8190C">
      <w:numFmt w:val="bullet"/>
      <w:lvlText w:val="•"/>
      <w:lvlJc w:val="left"/>
      <w:pPr>
        <w:ind w:left="3659" w:hanging="187"/>
      </w:pPr>
      <w:rPr>
        <w:rFonts w:hint="default"/>
        <w:lang w:val="uk-UA" w:eastAsia="en-US" w:bidi="ar-SA"/>
      </w:rPr>
    </w:lvl>
    <w:lvl w:ilvl="4" w:tplc="5966F34A">
      <w:numFmt w:val="bullet"/>
      <w:lvlText w:val="•"/>
      <w:lvlJc w:val="left"/>
      <w:pPr>
        <w:ind w:left="4606" w:hanging="187"/>
      </w:pPr>
      <w:rPr>
        <w:rFonts w:hint="default"/>
        <w:lang w:val="uk-UA" w:eastAsia="en-US" w:bidi="ar-SA"/>
      </w:rPr>
    </w:lvl>
    <w:lvl w:ilvl="5" w:tplc="EB34C470">
      <w:numFmt w:val="bullet"/>
      <w:lvlText w:val="•"/>
      <w:lvlJc w:val="left"/>
      <w:pPr>
        <w:ind w:left="5553" w:hanging="187"/>
      </w:pPr>
      <w:rPr>
        <w:rFonts w:hint="default"/>
        <w:lang w:val="uk-UA" w:eastAsia="en-US" w:bidi="ar-SA"/>
      </w:rPr>
    </w:lvl>
    <w:lvl w:ilvl="6" w:tplc="B6789EA4">
      <w:numFmt w:val="bullet"/>
      <w:lvlText w:val="•"/>
      <w:lvlJc w:val="left"/>
      <w:pPr>
        <w:ind w:left="6499" w:hanging="187"/>
      </w:pPr>
      <w:rPr>
        <w:rFonts w:hint="default"/>
        <w:lang w:val="uk-UA" w:eastAsia="en-US" w:bidi="ar-SA"/>
      </w:rPr>
    </w:lvl>
    <w:lvl w:ilvl="7" w:tplc="8AA685CA">
      <w:numFmt w:val="bullet"/>
      <w:lvlText w:val="•"/>
      <w:lvlJc w:val="left"/>
      <w:pPr>
        <w:ind w:left="7446" w:hanging="187"/>
      </w:pPr>
      <w:rPr>
        <w:rFonts w:hint="default"/>
        <w:lang w:val="uk-UA" w:eastAsia="en-US" w:bidi="ar-SA"/>
      </w:rPr>
    </w:lvl>
    <w:lvl w:ilvl="8" w:tplc="235E53C8">
      <w:numFmt w:val="bullet"/>
      <w:lvlText w:val="•"/>
      <w:lvlJc w:val="left"/>
      <w:pPr>
        <w:ind w:left="8392" w:hanging="187"/>
      </w:pPr>
      <w:rPr>
        <w:rFonts w:hint="default"/>
        <w:lang w:val="uk-UA" w:eastAsia="en-US" w:bidi="ar-SA"/>
      </w:rPr>
    </w:lvl>
  </w:abstractNum>
  <w:abstractNum w:abstractNumId="9" w15:restartNumberingAfterBreak="0">
    <w:nsid w:val="32D85334"/>
    <w:multiLevelType w:val="hybridMultilevel"/>
    <w:tmpl w:val="739C9412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633AD"/>
    <w:multiLevelType w:val="hybridMultilevel"/>
    <w:tmpl w:val="440A9D20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A0BA1"/>
    <w:multiLevelType w:val="hybridMultilevel"/>
    <w:tmpl w:val="1730F4D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5" w15:restartNumberingAfterBreak="0">
    <w:nsid w:val="5007754B"/>
    <w:multiLevelType w:val="hybridMultilevel"/>
    <w:tmpl w:val="8BAA756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111EE"/>
    <w:multiLevelType w:val="hybridMultilevel"/>
    <w:tmpl w:val="84507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556FA"/>
    <w:multiLevelType w:val="hybridMultilevel"/>
    <w:tmpl w:val="09182D7C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540B8"/>
    <w:multiLevelType w:val="hybridMultilevel"/>
    <w:tmpl w:val="168C72BE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6D3657"/>
    <w:multiLevelType w:val="hybridMultilevel"/>
    <w:tmpl w:val="E2B60906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B5555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3" w15:restartNumberingAfterBreak="0">
    <w:nsid w:val="74E005A5"/>
    <w:multiLevelType w:val="hybridMultilevel"/>
    <w:tmpl w:val="287CA17E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041EB"/>
    <w:multiLevelType w:val="hybridMultilevel"/>
    <w:tmpl w:val="23B07AE6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6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7"/>
  </w:num>
  <w:num w:numId="6">
    <w:abstractNumId w:val="4"/>
  </w:num>
  <w:num w:numId="7">
    <w:abstractNumId w:val="20"/>
  </w:num>
  <w:num w:numId="8">
    <w:abstractNumId w:val="12"/>
  </w:num>
  <w:num w:numId="9">
    <w:abstractNumId w:val="10"/>
  </w:num>
  <w:num w:numId="10">
    <w:abstractNumId w:val="26"/>
  </w:num>
  <w:num w:numId="11">
    <w:abstractNumId w:val="16"/>
  </w:num>
  <w:num w:numId="12">
    <w:abstractNumId w:val="8"/>
  </w:num>
  <w:num w:numId="13">
    <w:abstractNumId w:val="3"/>
  </w:num>
  <w:num w:numId="14">
    <w:abstractNumId w:val="23"/>
  </w:num>
  <w:num w:numId="15">
    <w:abstractNumId w:val="5"/>
  </w:num>
  <w:num w:numId="16">
    <w:abstractNumId w:val="13"/>
  </w:num>
  <w:num w:numId="17">
    <w:abstractNumId w:val="15"/>
  </w:num>
  <w:num w:numId="18">
    <w:abstractNumId w:val="2"/>
  </w:num>
  <w:num w:numId="19">
    <w:abstractNumId w:val="9"/>
  </w:num>
  <w:num w:numId="20">
    <w:abstractNumId w:val="21"/>
  </w:num>
  <w:num w:numId="21">
    <w:abstractNumId w:val="18"/>
  </w:num>
  <w:num w:numId="22">
    <w:abstractNumId w:val="19"/>
  </w:num>
  <w:num w:numId="23">
    <w:abstractNumId w:val="11"/>
  </w:num>
  <w:num w:numId="24">
    <w:abstractNumId w:val="7"/>
  </w:num>
  <w:num w:numId="25">
    <w:abstractNumId w:val="1"/>
  </w:num>
  <w:num w:numId="26">
    <w:abstractNumId w:val="24"/>
  </w:num>
  <w:num w:numId="27">
    <w:abstractNumId w:val="22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3A8B"/>
    <w:rsid w:val="0003718E"/>
    <w:rsid w:val="000C6E30"/>
    <w:rsid w:val="001A63D4"/>
    <w:rsid w:val="00464A76"/>
    <w:rsid w:val="004D33BD"/>
    <w:rsid w:val="005527AD"/>
    <w:rsid w:val="0071212D"/>
    <w:rsid w:val="007329CB"/>
    <w:rsid w:val="00733068"/>
    <w:rsid w:val="0084248B"/>
    <w:rsid w:val="00860A1D"/>
    <w:rsid w:val="00984C2C"/>
    <w:rsid w:val="009B6ECD"/>
    <w:rsid w:val="00A238BF"/>
    <w:rsid w:val="00B24970"/>
    <w:rsid w:val="00B70296"/>
    <w:rsid w:val="00C11688"/>
    <w:rsid w:val="00CF2B91"/>
    <w:rsid w:val="00D34056"/>
    <w:rsid w:val="00E64C46"/>
    <w:rsid w:val="00F62C35"/>
    <w:rsid w:val="00FE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A7EC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"/>
    <w:link w:val="a4"/>
    <w:uiPriority w:val="34"/>
    <w:qFormat/>
    <w:rsid w:val="0003718E"/>
    <w:pPr>
      <w:ind w:left="720"/>
      <w:contextualSpacing/>
    </w:p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3"/>
    <w:uiPriority w:val="34"/>
    <w:qFormat/>
    <w:rsid w:val="0003718E"/>
    <w:rPr>
      <w:rFonts w:ascii="Times New Roman" w:hAnsi="Times New Roman"/>
      <w:sz w:val="28"/>
    </w:rPr>
  </w:style>
  <w:style w:type="character" w:styleId="a5">
    <w:name w:val="Emphasis"/>
    <w:uiPriority w:val="99"/>
    <w:qFormat/>
    <w:rsid w:val="005527AD"/>
    <w:rPr>
      <w:i/>
      <w:iCs/>
    </w:rPr>
  </w:style>
  <w:style w:type="paragraph" w:customStyle="1" w:styleId="a6">
    <w:name w:val="Номер"/>
    <w:basedOn w:val="a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9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a">
    <w:name w:val="Normal (Web)"/>
    <w:basedOn w:val="a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8">
    <w:name w:val="Основной текст8"/>
    <w:basedOn w:val="a"/>
    <w:rsid w:val="00F62C35"/>
    <w:pPr>
      <w:widowControl w:val="0"/>
      <w:shd w:val="clear" w:color="auto" w:fill="FFFFFF"/>
      <w:spacing w:before="540" w:after="300" w:line="0" w:lineRule="atLeast"/>
      <w:ind w:hanging="360"/>
      <w:jc w:val="both"/>
    </w:pPr>
    <w:rPr>
      <w:rFonts w:cs="Times New Roman"/>
      <w:sz w:val="23"/>
      <w:szCs w:val="23"/>
    </w:rPr>
  </w:style>
  <w:style w:type="paragraph" w:styleId="ab">
    <w:name w:val="Body Text"/>
    <w:basedOn w:val="a"/>
    <w:link w:val="ac"/>
    <w:uiPriority w:val="99"/>
    <w:semiHidden/>
    <w:unhideWhenUsed/>
    <w:rsid w:val="00F62C35"/>
    <w:pPr>
      <w:spacing w:after="120" w:line="259" w:lineRule="auto"/>
    </w:pPr>
    <w:rPr>
      <w:rFonts w:ascii="Calibri" w:eastAsia="Calibri" w:hAnsi="Calibri" w:cs="Times New Roman"/>
      <w:sz w:val="22"/>
      <w:lang w:val="ru-RU"/>
    </w:rPr>
  </w:style>
  <w:style w:type="character" w:customStyle="1" w:styleId="ac">
    <w:name w:val="Основний текст Знак"/>
    <w:basedOn w:val="a0"/>
    <w:link w:val="ab"/>
    <w:uiPriority w:val="99"/>
    <w:semiHidden/>
    <w:rsid w:val="00F62C35"/>
    <w:rPr>
      <w:rFonts w:ascii="Calibri" w:eastAsia="Calibri" w:hAnsi="Calibri" w:cs="Times New Roman"/>
      <w:lang w:val="ru-RU"/>
    </w:rPr>
  </w:style>
  <w:style w:type="table" w:styleId="ad">
    <w:name w:val="Table Grid"/>
    <w:basedOn w:val="a1"/>
    <w:uiPriority w:val="59"/>
    <w:rsid w:val="00E64C46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4592</Words>
  <Characters>2619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Okhrymchuk Irina</cp:lastModifiedBy>
  <cp:revision>26</cp:revision>
  <cp:lastPrinted>2024-08-29T12:02:00Z</cp:lastPrinted>
  <dcterms:created xsi:type="dcterms:W3CDTF">2024-04-11T08:32:00Z</dcterms:created>
  <dcterms:modified xsi:type="dcterms:W3CDTF">2024-10-02T09:26:00Z</dcterms:modified>
</cp:coreProperties>
</file>