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73FC3" w:rsidRDefault="0044463B" w:rsidP="00722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«</w:t>
            </w:r>
            <w:r w:rsidR="0072242C">
              <w:rPr>
                <w:rStyle w:val="fw500"/>
                <w:rFonts w:ascii="Times New Roman" w:hAnsi="Times New Roman"/>
              </w:rPr>
              <w:t>Природний газ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72242C" w:rsidRDefault="0072242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42C">
              <w:rPr>
                <w:rFonts w:ascii="Times New Roman" w:hAnsi="Times New Roman"/>
                <w:sz w:val="24"/>
                <w:szCs w:val="24"/>
              </w:rPr>
              <w:t>09120000-6 Газове паливо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72242C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UA-2024-10-08-012324-a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42C" w:rsidRDefault="0072242C" w:rsidP="0072242C">
            <w:pPr>
              <w:pStyle w:val="a9"/>
              <w:tabs>
                <w:tab w:val="left" w:pos="1113"/>
              </w:tabs>
              <w:spacing w:before="65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характеристики природного газу,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котрий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міждержавному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стандарту ГОСТ 5542-87 «Газы горючие природные для промышленного и коммунального назначения.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Технические условия»,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газорозподільних</w:t>
            </w:r>
            <w:proofErr w:type="spellEnd"/>
            <w:r w:rsidRPr="0061719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систем.</w:t>
            </w:r>
          </w:p>
          <w:p w:rsidR="0072242C" w:rsidRPr="00617199" w:rsidRDefault="0072242C" w:rsidP="0072242C">
            <w:pPr>
              <w:pStyle w:val="a9"/>
              <w:tabs>
                <w:tab w:val="left" w:pos="110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товару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242C" w:rsidRPr="00617199" w:rsidRDefault="0072242C" w:rsidP="0072242C">
            <w:pPr>
              <w:pStyle w:val="a9"/>
              <w:tabs>
                <w:tab w:val="left" w:pos="1113"/>
              </w:tabs>
              <w:spacing w:line="240" w:lineRule="auto"/>
              <w:ind w:left="0" w:right="21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Переможець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торгів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укладено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 до точки входу в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систему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підключений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242C" w:rsidRPr="00617199" w:rsidRDefault="0072242C" w:rsidP="0072242C">
            <w:pPr>
              <w:pStyle w:val="a9"/>
              <w:tabs>
                <w:tab w:val="left" w:pos="1113"/>
              </w:tabs>
              <w:spacing w:line="240" w:lineRule="auto"/>
              <w:ind w:left="0" w:right="216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- Передача газу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их)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точці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- Оператора ГТС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Оператора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ГРМ.</w:t>
            </w:r>
          </w:p>
          <w:p w:rsidR="0072242C" w:rsidRPr="00617199" w:rsidRDefault="0072242C" w:rsidP="0072242C">
            <w:pPr>
              <w:pStyle w:val="a9"/>
              <w:tabs>
                <w:tab w:val="left" w:pos="1113"/>
              </w:tabs>
              <w:spacing w:line="240" w:lineRule="auto"/>
              <w:ind w:left="0" w:right="21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- Товар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поставлятись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газу” та Правил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газу.</w:t>
            </w:r>
          </w:p>
          <w:p w:rsidR="0072242C" w:rsidRDefault="0072242C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>Порядок та умови приймання-передачі природного газу встановлюється у відповідності з постановами НКРЕКП 30.09.2015 № 2496, від.09.2015 №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2494.</w:t>
            </w:r>
          </w:p>
          <w:p w:rsidR="0052423C" w:rsidRPr="00A73FC3" w:rsidRDefault="00873F6B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73FC3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A73FC3" w:rsidRPr="00A73FC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72242C" w:rsidP="0072242C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913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дев’ятсот тринадцять</w:t>
            </w:r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72242C" w:rsidRPr="007224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913</w:t>
            </w:r>
            <w:r w:rsidR="0072242C" w:rsidRPr="0072242C">
              <w:rPr>
                <w:rFonts w:ascii="Times New Roman" w:hAnsi="Times New Roman"/>
                <w:bCs/>
                <w:sz w:val="24"/>
                <w:szCs w:val="24"/>
              </w:rPr>
              <w:t xml:space="preserve"> 000, 00 грн. (дев’ятсот </w:t>
            </w:r>
            <w:r w:rsidR="0072242C" w:rsidRPr="007224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тринадцять</w:t>
            </w:r>
            <w:r w:rsidR="00A73FC3" w:rsidRPr="00A73FC3">
              <w:rPr>
                <w:rFonts w:ascii="Times New Roman" w:hAnsi="Times New Roman"/>
                <w:bCs/>
                <w:sz w:val="24"/>
                <w:szCs w:val="24"/>
              </w:rPr>
              <w:t xml:space="preserve"> тисяч грн. 00 коп.)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72242C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72242C">
              <w:rPr>
                <w:rFonts w:ascii="Times New Roman" w:hAnsi="Times New Roman"/>
                <w:bCs/>
                <w:sz w:val="24"/>
                <w:szCs w:val="24"/>
              </w:rPr>
              <w:t>природного газу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65A" w:rsidRDefault="00FA365A">
      <w:pPr>
        <w:spacing w:line="240" w:lineRule="auto"/>
      </w:pPr>
      <w:r>
        <w:separator/>
      </w:r>
    </w:p>
  </w:endnote>
  <w:endnote w:type="continuationSeparator" w:id="0">
    <w:p w:rsidR="00FA365A" w:rsidRDefault="00FA3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65A" w:rsidRDefault="00FA365A">
      <w:pPr>
        <w:spacing w:line="240" w:lineRule="auto"/>
      </w:pPr>
      <w:r>
        <w:separator/>
      </w:r>
    </w:p>
  </w:footnote>
  <w:footnote w:type="continuationSeparator" w:id="0">
    <w:p w:rsidR="00FA365A" w:rsidRDefault="00FA36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2242C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659AC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A365A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10-08-01232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2024-10-30T12:20:00Z</cp:lastPrinted>
  <dcterms:created xsi:type="dcterms:W3CDTF">2024-01-31T13:09:00Z</dcterms:created>
  <dcterms:modified xsi:type="dcterms:W3CDTF">2024-10-30T12:20:00Z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