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7B0" w:rsidRDefault="002637B0" w:rsidP="000506FD">
      <w:pPr>
        <w:ind w:firstLine="357"/>
        <w:jc w:val="center"/>
        <w:rPr>
          <w:b/>
          <w:bCs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ОБҐРУНТУВАННЯ ТЕХНІЧНИХ ТА ЯКІСНИХ ХАРАКТЕРИСТИК ПРЕДМЕТА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ЗАКУПІВЛІ, РОЗМІРУ БЮДЖЕТНОГО ПРИЗНАЧЕННЯ, ОЧІКУВАНОЇ</w:t>
      </w:r>
      <w:r w:rsidRPr="00596C53">
        <w:rPr>
          <w:b/>
          <w:sz w:val="28"/>
          <w:szCs w:val="28"/>
          <w:lang w:val="ru-RU"/>
        </w:rPr>
        <w:t xml:space="preserve"> </w:t>
      </w:r>
      <w:r w:rsidRPr="00596C53">
        <w:rPr>
          <w:b/>
          <w:sz w:val="28"/>
          <w:szCs w:val="28"/>
        </w:rPr>
        <w:t>ВАРТОСТІ ПРЕДМЕТА ЗАКУПІВЛІ</w:t>
      </w:r>
    </w:p>
    <w:p w:rsidR="007919B9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(відповідно до пункту 4</w:t>
      </w:r>
      <w:r w:rsidRPr="00596C53">
        <w:rPr>
          <w:b/>
          <w:sz w:val="28"/>
          <w:szCs w:val="28"/>
          <w:vertAlign w:val="superscript"/>
        </w:rPr>
        <w:t>1</w:t>
      </w:r>
      <w:r w:rsidRPr="00596C53">
        <w:rPr>
          <w:b/>
          <w:sz w:val="28"/>
          <w:szCs w:val="28"/>
        </w:rPr>
        <w:t xml:space="preserve"> постанови КМУ від 11.10.2016 № 710 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«Про ефективне</w:t>
      </w:r>
      <w:r w:rsidR="007919B9" w:rsidRPr="00596C53">
        <w:rPr>
          <w:b/>
          <w:sz w:val="28"/>
          <w:szCs w:val="28"/>
        </w:rPr>
        <w:t xml:space="preserve"> </w:t>
      </w:r>
      <w:r w:rsidRPr="00596C53">
        <w:rPr>
          <w:b/>
          <w:sz w:val="28"/>
          <w:szCs w:val="28"/>
        </w:rPr>
        <w:t>використання державних коштів» (зі змінами))</w:t>
      </w: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596C53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596C53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0A043A" w:rsidRPr="00596C53">
        <w:rPr>
          <w:sz w:val="28"/>
          <w:szCs w:val="28"/>
        </w:rPr>
        <w:t>Сумська митниця</w:t>
      </w:r>
      <w:r w:rsidRPr="00596C53">
        <w:rPr>
          <w:sz w:val="28"/>
          <w:szCs w:val="28"/>
        </w:rPr>
        <w:t xml:space="preserve">; вул. </w:t>
      </w:r>
      <w:r w:rsidR="000A043A" w:rsidRPr="00596C53">
        <w:rPr>
          <w:sz w:val="28"/>
          <w:szCs w:val="28"/>
        </w:rPr>
        <w:t>Юрія Вєтрова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24</w:t>
      </w:r>
      <w:r w:rsidRPr="00596C53">
        <w:rPr>
          <w:sz w:val="28"/>
          <w:szCs w:val="28"/>
        </w:rPr>
        <w:t xml:space="preserve">, м. </w:t>
      </w:r>
      <w:r w:rsidR="000A043A" w:rsidRPr="00596C53">
        <w:rPr>
          <w:sz w:val="28"/>
          <w:szCs w:val="28"/>
        </w:rPr>
        <w:t>Суми</w:t>
      </w:r>
      <w:r w:rsidRPr="00596C53">
        <w:rPr>
          <w:sz w:val="28"/>
          <w:szCs w:val="28"/>
        </w:rPr>
        <w:t xml:space="preserve">, </w:t>
      </w:r>
      <w:r w:rsidR="000A043A" w:rsidRPr="00596C53">
        <w:rPr>
          <w:sz w:val="28"/>
          <w:szCs w:val="28"/>
        </w:rPr>
        <w:t>40024</w:t>
      </w:r>
      <w:r w:rsidRPr="00596C53">
        <w:rPr>
          <w:sz w:val="28"/>
          <w:szCs w:val="28"/>
        </w:rPr>
        <w:t xml:space="preserve">; код за ЄДРПОУ – </w:t>
      </w:r>
      <w:r w:rsidR="000A043A" w:rsidRPr="00596C53">
        <w:rPr>
          <w:sz w:val="28"/>
          <w:szCs w:val="28"/>
        </w:rPr>
        <w:t>44017631</w:t>
      </w:r>
      <w:r w:rsidRPr="00596C53">
        <w:rPr>
          <w:sz w:val="28"/>
          <w:szCs w:val="28"/>
        </w:rPr>
        <w:t>; категорія замовника – орган державної  влади.</w:t>
      </w:r>
    </w:p>
    <w:p w:rsidR="006E0648" w:rsidRPr="00596C53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81393A" w:rsidRDefault="006E0648" w:rsidP="00571924">
      <w:pPr>
        <w:ind w:firstLine="567"/>
        <w:contextualSpacing/>
        <w:jc w:val="both"/>
        <w:rPr>
          <w:b/>
          <w:sz w:val="28"/>
          <w:szCs w:val="28"/>
          <w:lang w:val="ru-RU"/>
        </w:rPr>
      </w:pPr>
      <w:r w:rsidRPr="00596C53">
        <w:rPr>
          <w:b/>
          <w:sz w:val="28"/>
          <w:szCs w:val="28"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</w:t>
      </w:r>
      <w:proofErr w:type="spellStart"/>
      <w:r w:rsidRPr="00596C53">
        <w:rPr>
          <w:b/>
          <w:sz w:val="28"/>
          <w:szCs w:val="28"/>
        </w:rPr>
        <w:t>клас</w:t>
      </w:r>
      <w:r w:rsidR="0018585C" w:rsidRPr="00596C53">
        <w:rPr>
          <w:b/>
          <w:sz w:val="28"/>
          <w:szCs w:val="28"/>
        </w:rPr>
        <w:t>ифікато</w:t>
      </w:r>
      <w:r w:rsidRPr="00596C53">
        <w:rPr>
          <w:b/>
          <w:sz w:val="28"/>
          <w:szCs w:val="28"/>
        </w:rPr>
        <w:t>ів</w:t>
      </w:r>
      <w:proofErr w:type="spellEnd"/>
      <w:r w:rsidRPr="00596C53">
        <w:rPr>
          <w:b/>
          <w:sz w:val="28"/>
          <w:szCs w:val="28"/>
        </w:rPr>
        <w:t xml:space="preserve"> предмета закупівлі і частин предмета закупівлі (лотів) (за наявності): </w:t>
      </w:r>
      <w:proofErr w:type="spellStart"/>
      <w:r w:rsidR="0081393A" w:rsidRPr="0081393A">
        <w:rPr>
          <w:b/>
          <w:sz w:val="28"/>
          <w:szCs w:val="28"/>
        </w:rPr>
        <w:t>відеореєстратор</w:t>
      </w:r>
      <w:proofErr w:type="spellEnd"/>
      <w:r w:rsidR="0081393A" w:rsidRPr="0081393A">
        <w:rPr>
          <w:b/>
          <w:sz w:val="28"/>
          <w:szCs w:val="28"/>
        </w:rPr>
        <w:t xml:space="preserve"> гібридний (для підключення аналогових та цифрових відеокамер одночасно)</w:t>
      </w:r>
    </w:p>
    <w:p w:rsidR="007C2BD8" w:rsidRPr="00A61BE2" w:rsidRDefault="00A61BE2" w:rsidP="00571924">
      <w:pPr>
        <w:ind w:firstLine="567"/>
        <w:contextualSpacing/>
        <w:jc w:val="both"/>
        <w:rPr>
          <w:color w:val="000000"/>
          <w:sz w:val="28"/>
          <w:szCs w:val="28"/>
          <w:lang w:eastAsia="uk-UA"/>
        </w:rPr>
      </w:pPr>
      <w:r w:rsidRPr="00A61BE2">
        <w:rPr>
          <w:rFonts w:eastAsia="Calibri"/>
          <w:iCs/>
          <w:color w:val="000000"/>
          <w:spacing w:val="4"/>
          <w:sz w:val="28"/>
          <w:szCs w:val="28"/>
        </w:rPr>
        <w:t xml:space="preserve">за </w:t>
      </w:r>
      <w:r w:rsidRPr="00A61BE2">
        <w:rPr>
          <w:color w:val="000000"/>
          <w:sz w:val="28"/>
          <w:szCs w:val="28"/>
          <w:lang w:eastAsia="uk-UA"/>
        </w:rPr>
        <w:t>ДК 021:2015 32320000-2 Телевізійне й аудіовізуальне обладнання</w:t>
      </w:r>
    </w:p>
    <w:p w:rsidR="009D48EC" w:rsidRPr="00596C53" w:rsidRDefault="007C2BD8" w:rsidP="00614053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rFonts w:eastAsia="Calibri"/>
          <w:color w:val="000000"/>
          <w:sz w:val="28"/>
          <w:szCs w:val="28"/>
        </w:rPr>
        <w:tab/>
        <w:t xml:space="preserve"> </w:t>
      </w:r>
    </w:p>
    <w:p w:rsidR="007C2BD8" w:rsidRPr="00E80BFE" w:rsidRDefault="006E0648" w:rsidP="007C2BD8">
      <w:pPr>
        <w:ind w:firstLine="567"/>
        <w:contextualSpacing/>
        <w:jc w:val="both"/>
        <w:rPr>
          <w:b/>
          <w:sz w:val="28"/>
          <w:szCs w:val="28"/>
        </w:rPr>
      </w:pPr>
      <w:r w:rsidRPr="00596C53">
        <w:rPr>
          <w:b/>
          <w:sz w:val="28"/>
          <w:szCs w:val="28"/>
        </w:rPr>
        <w:t>3. Ідентифікатор</w:t>
      </w:r>
      <w:r w:rsidR="007C2BD8" w:rsidRPr="00596C53">
        <w:rPr>
          <w:b/>
          <w:sz w:val="28"/>
          <w:szCs w:val="28"/>
        </w:rPr>
        <w:t>и</w:t>
      </w:r>
      <w:r w:rsidRPr="00596C53">
        <w:rPr>
          <w:b/>
          <w:sz w:val="28"/>
          <w:szCs w:val="28"/>
        </w:rPr>
        <w:t xml:space="preserve"> закупів</w:t>
      </w:r>
      <w:r w:rsidR="007C2BD8" w:rsidRPr="00596C53">
        <w:rPr>
          <w:b/>
          <w:sz w:val="28"/>
          <w:szCs w:val="28"/>
        </w:rPr>
        <w:t>ель</w:t>
      </w:r>
      <w:r w:rsidRPr="00596C53">
        <w:rPr>
          <w:b/>
          <w:sz w:val="28"/>
          <w:szCs w:val="28"/>
        </w:rPr>
        <w:t xml:space="preserve">: </w:t>
      </w:r>
      <w:r w:rsidRPr="00E80BFE">
        <w:rPr>
          <w:b/>
          <w:sz w:val="28"/>
          <w:szCs w:val="28"/>
        </w:rPr>
        <w:t>—</w:t>
      </w:r>
      <w:r w:rsidR="00596C53" w:rsidRPr="00E80BFE">
        <w:rPr>
          <w:b/>
          <w:sz w:val="28"/>
          <w:szCs w:val="28"/>
        </w:rPr>
        <w:t xml:space="preserve"> </w:t>
      </w:r>
      <w:r w:rsidR="0081393A" w:rsidRPr="0081393A">
        <w:rPr>
          <w:b/>
          <w:sz w:val="28"/>
          <w:szCs w:val="28"/>
        </w:rPr>
        <w:t>UA-2024-11-06-010136-a</w:t>
      </w:r>
    </w:p>
    <w:p w:rsidR="00B661EC" w:rsidRPr="00596C53" w:rsidRDefault="00B661EC" w:rsidP="007919B9">
      <w:pPr>
        <w:ind w:firstLine="567"/>
        <w:contextualSpacing/>
        <w:jc w:val="both"/>
        <w:rPr>
          <w:b/>
          <w:sz w:val="28"/>
          <w:szCs w:val="28"/>
        </w:rPr>
      </w:pPr>
    </w:p>
    <w:p w:rsidR="00B661EC" w:rsidRPr="00596C53" w:rsidRDefault="00A0247F" w:rsidP="007919B9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 w:rsidRPr="00596C53">
        <w:rPr>
          <w:b/>
          <w:sz w:val="28"/>
          <w:szCs w:val="28"/>
        </w:rPr>
        <w:t xml:space="preserve">4. </w:t>
      </w:r>
      <w:r w:rsidRPr="00596C53">
        <w:rPr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  <w:r w:rsidRPr="00596C53">
        <w:rPr>
          <w:color w:val="000000" w:themeColor="text1"/>
          <w:sz w:val="28"/>
          <w:szCs w:val="28"/>
        </w:rPr>
        <w:t xml:space="preserve"> технічні та якісні характеристики предмета закупівлі визначені відповідно до потреб замовника</w:t>
      </w:r>
      <w:r w:rsidR="00B661EC" w:rsidRPr="00596C53">
        <w:rPr>
          <w:color w:val="000000" w:themeColor="text1"/>
          <w:sz w:val="28"/>
          <w:szCs w:val="28"/>
        </w:rPr>
        <w:t>, а саме: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5"/>
        <w:gridCol w:w="1641"/>
        <w:gridCol w:w="993"/>
        <w:gridCol w:w="1143"/>
        <w:gridCol w:w="3969"/>
        <w:gridCol w:w="1550"/>
      </w:tblGrid>
      <w:tr w:rsidR="00E80BFE" w:rsidRPr="00E80BFE" w:rsidTr="00CE591D">
        <w:tc>
          <w:tcPr>
            <w:tcW w:w="735" w:type="dxa"/>
            <w:shd w:val="clear" w:color="auto" w:fill="auto"/>
          </w:tcPr>
          <w:p w:rsidR="00E80BFE" w:rsidRPr="00E80BFE" w:rsidRDefault="00E80BFE" w:rsidP="00CE591D">
            <w:pPr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№з/п</w:t>
            </w:r>
          </w:p>
        </w:tc>
        <w:tc>
          <w:tcPr>
            <w:tcW w:w="1641" w:type="dxa"/>
            <w:shd w:val="clear" w:color="auto" w:fill="auto"/>
          </w:tcPr>
          <w:p w:rsidR="00E80BFE" w:rsidRPr="00E80BFE" w:rsidRDefault="00E80BFE" w:rsidP="00CE591D">
            <w:pPr>
              <w:jc w:val="center"/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Найменування товару, тип, марка тощо</w:t>
            </w:r>
          </w:p>
        </w:tc>
        <w:tc>
          <w:tcPr>
            <w:tcW w:w="993" w:type="dxa"/>
            <w:shd w:val="clear" w:color="auto" w:fill="auto"/>
          </w:tcPr>
          <w:p w:rsidR="00E80BFE" w:rsidRPr="00E80BFE" w:rsidRDefault="00E80BFE" w:rsidP="00CE591D">
            <w:pPr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Одиниця виміру</w:t>
            </w:r>
          </w:p>
        </w:tc>
        <w:tc>
          <w:tcPr>
            <w:tcW w:w="1143" w:type="dxa"/>
            <w:shd w:val="clear" w:color="auto" w:fill="auto"/>
          </w:tcPr>
          <w:p w:rsidR="00E80BFE" w:rsidRPr="00E80BFE" w:rsidRDefault="00E80BFE" w:rsidP="00CE591D">
            <w:pPr>
              <w:jc w:val="center"/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Кількість</w:t>
            </w:r>
          </w:p>
          <w:p w:rsidR="00E80BFE" w:rsidRPr="00E80BFE" w:rsidRDefault="00E80BFE" w:rsidP="00CE591D">
            <w:pPr>
              <w:jc w:val="center"/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товару</w:t>
            </w:r>
          </w:p>
        </w:tc>
        <w:tc>
          <w:tcPr>
            <w:tcW w:w="3969" w:type="dxa"/>
            <w:shd w:val="clear" w:color="auto" w:fill="auto"/>
          </w:tcPr>
          <w:p w:rsidR="00E80BFE" w:rsidRPr="00E80BFE" w:rsidRDefault="00E80BFE" w:rsidP="00CE591D">
            <w:pPr>
              <w:jc w:val="center"/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Технічна характеристика товару</w:t>
            </w:r>
          </w:p>
          <w:p w:rsidR="00E80BFE" w:rsidRPr="00E80BFE" w:rsidRDefault="00E80BFE" w:rsidP="00CE591D">
            <w:pPr>
              <w:jc w:val="center"/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(не гірше)</w:t>
            </w:r>
          </w:p>
        </w:tc>
        <w:tc>
          <w:tcPr>
            <w:tcW w:w="1550" w:type="dxa"/>
          </w:tcPr>
          <w:p w:rsidR="00E80BFE" w:rsidRPr="00E80BFE" w:rsidRDefault="00E80BFE" w:rsidP="00CE591D">
            <w:pPr>
              <w:jc w:val="center"/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Виробник, країна походження товару</w:t>
            </w:r>
          </w:p>
        </w:tc>
      </w:tr>
      <w:tr w:rsidR="00E80BFE" w:rsidRPr="00E80BFE" w:rsidTr="00CE591D">
        <w:tc>
          <w:tcPr>
            <w:tcW w:w="735" w:type="dxa"/>
            <w:shd w:val="clear" w:color="auto" w:fill="auto"/>
          </w:tcPr>
          <w:p w:rsidR="00E80BFE" w:rsidRPr="00E80BFE" w:rsidRDefault="00E80BFE" w:rsidP="00CE591D">
            <w:pPr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1</w:t>
            </w:r>
          </w:p>
        </w:tc>
        <w:tc>
          <w:tcPr>
            <w:tcW w:w="1641" w:type="dxa"/>
            <w:shd w:val="clear" w:color="auto" w:fill="auto"/>
          </w:tcPr>
          <w:p w:rsidR="00E80BFE" w:rsidRPr="00E80BFE" w:rsidRDefault="00E80BFE" w:rsidP="00CE591D">
            <w:pPr>
              <w:rPr>
                <w:sz w:val="28"/>
                <w:szCs w:val="28"/>
              </w:rPr>
            </w:pPr>
            <w:proofErr w:type="spellStart"/>
            <w:r w:rsidRPr="00E80BFE">
              <w:rPr>
                <w:sz w:val="28"/>
                <w:szCs w:val="28"/>
              </w:rPr>
              <w:t>Відеореєстратор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E80BFE" w:rsidRPr="00E80BFE" w:rsidRDefault="00E80BFE" w:rsidP="00CE591D">
            <w:pPr>
              <w:rPr>
                <w:sz w:val="28"/>
                <w:szCs w:val="28"/>
              </w:rPr>
            </w:pPr>
            <w:proofErr w:type="spellStart"/>
            <w:r w:rsidRPr="00E80BFE">
              <w:rPr>
                <w:sz w:val="28"/>
                <w:szCs w:val="28"/>
              </w:rPr>
              <w:t>шт</w:t>
            </w:r>
            <w:proofErr w:type="spellEnd"/>
          </w:p>
        </w:tc>
        <w:tc>
          <w:tcPr>
            <w:tcW w:w="1143" w:type="dxa"/>
            <w:shd w:val="clear" w:color="auto" w:fill="auto"/>
          </w:tcPr>
          <w:p w:rsidR="00E80BFE" w:rsidRPr="00E80BFE" w:rsidRDefault="00E80BFE" w:rsidP="00CE591D">
            <w:pPr>
              <w:jc w:val="center"/>
              <w:rPr>
                <w:sz w:val="28"/>
                <w:szCs w:val="28"/>
              </w:rPr>
            </w:pPr>
            <w:r w:rsidRPr="00E80BFE">
              <w:rPr>
                <w:sz w:val="28"/>
                <w:szCs w:val="28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1393A" w:rsidRPr="0081393A" w:rsidRDefault="0081393A" w:rsidP="0081393A">
            <w:pPr>
              <w:rPr>
                <w:sz w:val="28"/>
                <w:szCs w:val="28"/>
              </w:rPr>
            </w:pPr>
            <w:r w:rsidRPr="0081393A">
              <w:rPr>
                <w:sz w:val="28"/>
                <w:szCs w:val="28"/>
              </w:rPr>
              <w:t>Забезпечення цілодобової роботи: так;</w:t>
            </w:r>
          </w:p>
          <w:p w:rsidR="0081393A" w:rsidRPr="0081393A" w:rsidRDefault="0081393A" w:rsidP="0081393A">
            <w:pPr>
              <w:rPr>
                <w:sz w:val="28"/>
                <w:szCs w:val="28"/>
              </w:rPr>
            </w:pPr>
            <w:r w:rsidRPr="0081393A">
              <w:rPr>
                <w:sz w:val="28"/>
                <w:szCs w:val="28"/>
              </w:rPr>
              <w:t>Можливість встановлення HDD (SATA3), шт.: не менше 2;</w:t>
            </w:r>
          </w:p>
          <w:p w:rsidR="0081393A" w:rsidRPr="0081393A" w:rsidRDefault="0081393A" w:rsidP="0081393A">
            <w:pPr>
              <w:rPr>
                <w:sz w:val="28"/>
                <w:szCs w:val="28"/>
              </w:rPr>
            </w:pPr>
            <w:proofErr w:type="spellStart"/>
            <w:r w:rsidRPr="0081393A">
              <w:rPr>
                <w:sz w:val="28"/>
                <w:szCs w:val="28"/>
              </w:rPr>
              <w:t>Форм-фактор</w:t>
            </w:r>
            <w:proofErr w:type="spellEnd"/>
            <w:r w:rsidRPr="0081393A">
              <w:rPr>
                <w:sz w:val="28"/>
                <w:szCs w:val="28"/>
              </w:rPr>
              <w:t xml:space="preserve"> HDD, дюйм: 3,5;</w:t>
            </w:r>
          </w:p>
          <w:p w:rsidR="0081393A" w:rsidRPr="0081393A" w:rsidRDefault="0081393A" w:rsidP="0081393A">
            <w:pPr>
              <w:rPr>
                <w:sz w:val="28"/>
                <w:szCs w:val="28"/>
              </w:rPr>
            </w:pPr>
            <w:proofErr w:type="spellStart"/>
            <w:r w:rsidRPr="0081393A">
              <w:rPr>
                <w:sz w:val="28"/>
                <w:szCs w:val="28"/>
              </w:rPr>
              <w:t>Ethernet</w:t>
            </w:r>
            <w:proofErr w:type="spellEnd"/>
            <w:r w:rsidRPr="0081393A">
              <w:rPr>
                <w:sz w:val="28"/>
                <w:szCs w:val="28"/>
              </w:rPr>
              <w:t>, кількість: не менше 1 RJ45 (10/100Mбіт/с);</w:t>
            </w:r>
          </w:p>
          <w:p w:rsidR="0081393A" w:rsidRPr="0081393A" w:rsidRDefault="0081393A" w:rsidP="0081393A">
            <w:pPr>
              <w:rPr>
                <w:sz w:val="28"/>
                <w:szCs w:val="28"/>
              </w:rPr>
            </w:pPr>
            <w:r w:rsidRPr="0081393A">
              <w:rPr>
                <w:sz w:val="28"/>
                <w:szCs w:val="28"/>
              </w:rPr>
              <w:t>Аналоговий вхід (для відеокамер), шт.: не менше 8 каналів (BNC);</w:t>
            </w:r>
          </w:p>
          <w:p w:rsidR="0081393A" w:rsidRPr="0081393A" w:rsidRDefault="0081393A" w:rsidP="0081393A">
            <w:pPr>
              <w:rPr>
                <w:sz w:val="28"/>
                <w:szCs w:val="28"/>
              </w:rPr>
            </w:pPr>
            <w:r w:rsidRPr="0081393A">
              <w:rPr>
                <w:sz w:val="28"/>
                <w:szCs w:val="28"/>
              </w:rPr>
              <w:t>USB вхід, шт.: не менше одного USB 2.0;</w:t>
            </w:r>
          </w:p>
          <w:p w:rsidR="0081393A" w:rsidRPr="0081393A" w:rsidRDefault="0081393A" w:rsidP="0081393A">
            <w:pPr>
              <w:rPr>
                <w:sz w:val="28"/>
                <w:szCs w:val="28"/>
              </w:rPr>
            </w:pPr>
            <w:r w:rsidRPr="0081393A">
              <w:rPr>
                <w:sz w:val="28"/>
                <w:szCs w:val="28"/>
              </w:rPr>
              <w:t>Інтерфейс відеовиходу: не менше 1 HDMI, 1 VGA;</w:t>
            </w:r>
          </w:p>
          <w:p w:rsidR="0081393A" w:rsidRPr="0081393A" w:rsidRDefault="0081393A" w:rsidP="0081393A">
            <w:pPr>
              <w:rPr>
                <w:sz w:val="28"/>
                <w:szCs w:val="28"/>
              </w:rPr>
            </w:pPr>
            <w:r w:rsidRPr="0081393A">
              <w:rPr>
                <w:sz w:val="28"/>
                <w:szCs w:val="28"/>
              </w:rPr>
              <w:lastRenderedPageBreak/>
              <w:t>Роздільна здатність відеовиходу: HDMI/VGA: не гірше 1920x1080;</w:t>
            </w:r>
          </w:p>
          <w:p w:rsidR="0081393A" w:rsidRPr="0081393A" w:rsidRDefault="0081393A" w:rsidP="0081393A">
            <w:pPr>
              <w:rPr>
                <w:sz w:val="28"/>
                <w:szCs w:val="28"/>
              </w:rPr>
            </w:pPr>
            <w:r w:rsidRPr="0081393A">
              <w:rPr>
                <w:sz w:val="28"/>
                <w:szCs w:val="28"/>
              </w:rPr>
              <w:t>Робоча температура: від -100С до +500С</w:t>
            </w:r>
          </w:p>
          <w:p w:rsidR="0081393A" w:rsidRPr="0081393A" w:rsidRDefault="0081393A" w:rsidP="0081393A">
            <w:pPr>
              <w:rPr>
                <w:sz w:val="28"/>
                <w:szCs w:val="28"/>
              </w:rPr>
            </w:pPr>
            <w:r w:rsidRPr="0081393A">
              <w:rPr>
                <w:sz w:val="28"/>
                <w:szCs w:val="28"/>
              </w:rPr>
              <w:t>Гарантія від виробника: не менше 2 роки.</w:t>
            </w:r>
          </w:p>
          <w:p w:rsidR="00E80BFE" w:rsidRPr="00E80BFE" w:rsidRDefault="0081393A" w:rsidP="0081393A">
            <w:pPr>
              <w:rPr>
                <w:sz w:val="28"/>
                <w:szCs w:val="28"/>
              </w:rPr>
            </w:pPr>
            <w:r w:rsidRPr="0081393A">
              <w:rPr>
                <w:sz w:val="28"/>
                <w:szCs w:val="28"/>
              </w:rPr>
              <w:t>Можливість підключення не менше 4-х IP-камер.</w:t>
            </w:r>
          </w:p>
        </w:tc>
        <w:tc>
          <w:tcPr>
            <w:tcW w:w="1550" w:type="dxa"/>
          </w:tcPr>
          <w:p w:rsidR="00E80BFE" w:rsidRPr="00E80BFE" w:rsidRDefault="00E80BFE" w:rsidP="00CE591D">
            <w:pPr>
              <w:pStyle w:val="aff3"/>
              <w:rPr>
                <w:sz w:val="28"/>
                <w:szCs w:val="28"/>
              </w:rPr>
            </w:pPr>
          </w:p>
        </w:tc>
      </w:tr>
    </w:tbl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lastRenderedPageBreak/>
        <w:t>1. Якість товару та інше: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>1.1 Запропонований учасником Товар обов’язково повинен відповідати (або бути не гірше) усім наведеним у цьому Додатку до тендерної документації технічним вимогам, характеристикам, параметрам і комплектації. Учасник повинен підтвердити відповідність запропонованого ним Товару вказаним вимогам шляхом заповнення вищенаведеної таблиці.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>Якщо пропозиція торгів учасника не відповідає встановленим технічним вимогам, то пропозиція буде відхилена, як така, що не відповідає умовам технічної специфікації та іншим вимогам щодо предмета закупівлі тендерної документації.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 xml:space="preserve">1.2 Якість Товару: 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>Запропонований Товар повинен бути новим (не бути таким, що вживався чи експлуатувався).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 xml:space="preserve">Якість Товару, що поставляється, повинна відповідати документації, яка встановлює вимоги до його якості та загальним вимогам, які пред’являються до Товару цього типу. 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>Інформацію про відповідність запропонованого до поставки Товару технічним та якісним вимогам Замовника, шляхом надання під час проведення процедури (повинні бути завантажені в електронну систему на момент проведення аукціону) закупівлі сканованих копій наступних документів завірених мокрою печаткою Учасника: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>Копію листа від виробника або офіційного представника виробника в Україні з інформацією про фактичні технічні характеристики Товару, що пропонується Учасником.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>У випадку неможливості надати копію листа від виробника або офіційного представника виробника в Україні з інформацією про фактичні технічні характеристики Товару, Учасник може надати посилання на сторінку товару на офіційному сайті виробника або торговельної марки, де є всі необхідні технічні дані про товар, описані у вимозі.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>2. Умови поставки: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>Товар повинен бути упакований Учасником відповідно до вимог нормативних документів таким чином, щоб виключити пошкодження чи знищення Товару. Товар повинен бути без зовнішніх пошкоджень, чистим, не порушена оригінальна упаковка.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</w:rPr>
      </w:pPr>
      <w:r w:rsidRPr="00267C73">
        <w:rPr>
          <w:sz w:val="28"/>
          <w:szCs w:val="28"/>
        </w:rPr>
        <w:t xml:space="preserve">Доставка товару, завантажувальні та розвантажувальні роботи, здійснюються за рахунок Постачальника, його транспортом чи транспортом перевізника за рахунок </w:t>
      </w:r>
      <w:r w:rsidRPr="00267C73">
        <w:rPr>
          <w:sz w:val="28"/>
          <w:szCs w:val="28"/>
        </w:rPr>
        <w:lastRenderedPageBreak/>
        <w:t>Постачальника. Постачальник зобов’язаний поставляти товар в асортименті та кількості зазначеній в технічній характеристиці.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  <w:lang w:val="ru-RU"/>
        </w:rPr>
      </w:pPr>
      <w:r w:rsidRPr="00267C73">
        <w:rPr>
          <w:sz w:val="28"/>
          <w:szCs w:val="28"/>
          <w:lang w:val="ru-RU"/>
        </w:rPr>
        <w:t xml:space="preserve">3. </w:t>
      </w:r>
      <w:proofErr w:type="spellStart"/>
      <w:proofErr w:type="gramStart"/>
      <w:r w:rsidRPr="00267C73">
        <w:rPr>
          <w:sz w:val="28"/>
          <w:szCs w:val="28"/>
          <w:lang w:val="ru-RU"/>
        </w:rPr>
        <w:t>Техн</w:t>
      </w:r>
      <w:proofErr w:type="gramEnd"/>
      <w:r w:rsidRPr="00267C73">
        <w:rPr>
          <w:sz w:val="28"/>
          <w:szCs w:val="28"/>
          <w:lang w:val="ru-RU"/>
        </w:rPr>
        <w:t>ічні</w:t>
      </w:r>
      <w:proofErr w:type="spellEnd"/>
      <w:r w:rsidRPr="00267C73">
        <w:rPr>
          <w:sz w:val="28"/>
          <w:szCs w:val="28"/>
          <w:lang w:val="ru-RU"/>
        </w:rPr>
        <w:t xml:space="preserve">, </w:t>
      </w:r>
      <w:proofErr w:type="spellStart"/>
      <w:r w:rsidRPr="00267C73">
        <w:rPr>
          <w:sz w:val="28"/>
          <w:szCs w:val="28"/>
          <w:lang w:val="ru-RU"/>
        </w:rPr>
        <w:t>якісні</w:t>
      </w:r>
      <w:proofErr w:type="spellEnd"/>
      <w:r w:rsidRPr="00267C73">
        <w:rPr>
          <w:sz w:val="28"/>
          <w:szCs w:val="28"/>
          <w:lang w:val="ru-RU"/>
        </w:rPr>
        <w:t xml:space="preserve"> характеристики предмета </w:t>
      </w:r>
      <w:proofErr w:type="spellStart"/>
      <w:r w:rsidRPr="00267C73">
        <w:rPr>
          <w:sz w:val="28"/>
          <w:szCs w:val="28"/>
          <w:lang w:val="ru-RU"/>
        </w:rPr>
        <w:t>закупівлі</w:t>
      </w:r>
      <w:proofErr w:type="spellEnd"/>
      <w:r w:rsidRPr="00267C73">
        <w:rPr>
          <w:sz w:val="28"/>
          <w:szCs w:val="28"/>
          <w:lang w:val="ru-RU"/>
        </w:rPr>
        <w:t xml:space="preserve">, </w:t>
      </w:r>
      <w:proofErr w:type="spellStart"/>
      <w:r w:rsidRPr="00267C73">
        <w:rPr>
          <w:sz w:val="28"/>
          <w:szCs w:val="28"/>
          <w:lang w:val="ru-RU"/>
        </w:rPr>
        <w:t>що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пропонуються</w:t>
      </w:r>
      <w:proofErr w:type="spellEnd"/>
      <w:r w:rsidRPr="00267C73">
        <w:rPr>
          <w:sz w:val="28"/>
          <w:szCs w:val="28"/>
          <w:lang w:val="ru-RU"/>
        </w:rPr>
        <w:t xml:space="preserve"> до </w:t>
      </w:r>
      <w:proofErr w:type="spellStart"/>
      <w:r w:rsidRPr="00267C73">
        <w:rPr>
          <w:sz w:val="28"/>
          <w:szCs w:val="28"/>
          <w:lang w:val="ru-RU"/>
        </w:rPr>
        <w:t>постачання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повинні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передбачати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необхідність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застосування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заходів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із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захисту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довкілля</w:t>
      </w:r>
      <w:proofErr w:type="spellEnd"/>
      <w:r w:rsidRPr="00267C73">
        <w:rPr>
          <w:sz w:val="28"/>
          <w:szCs w:val="28"/>
          <w:lang w:val="ru-RU"/>
        </w:rPr>
        <w:t xml:space="preserve">. Товар, </w:t>
      </w:r>
      <w:proofErr w:type="spellStart"/>
      <w:r w:rsidRPr="00267C73">
        <w:rPr>
          <w:sz w:val="28"/>
          <w:szCs w:val="28"/>
          <w:lang w:val="ru-RU"/>
        </w:rPr>
        <w:t>що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пропонується</w:t>
      </w:r>
      <w:proofErr w:type="spellEnd"/>
      <w:r w:rsidRPr="00267C73">
        <w:rPr>
          <w:sz w:val="28"/>
          <w:szCs w:val="28"/>
          <w:lang w:val="ru-RU"/>
        </w:rPr>
        <w:t xml:space="preserve"> до </w:t>
      </w:r>
      <w:proofErr w:type="spellStart"/>
      <w:r w:rsidRPr="00267C73">
        <w:rPr>
          <w:sz w:val="28"/>
          <w:szCs w:val="28"/>
          <w:lang w:val="ru-RU"/>
        </w:rPr>
        <w:t>постачання</w:t>
      </w:r>
      <w:proofErr w:type="spellEnd"/>
      <w:r w:rsidRPr="00267C73">
        <w:rPr>
          <w:sz w:val="28"/>
          <w:szCs w:val="28"/>
          <w:lang w:val="ru-RU"/>
        </w:rPr>
        <w:t xml:space="preserve"> повинен </w:t>
      </w:r>
      <w:proofErr w:type="spellStart"/>
      <w:r w:rsidRPr="00267C73">
        <w:rPr>
          <w:sz w:val="28"/>
          <w:szCs w:val="28"/>
          <w:lang w:val="ru-RU"/>
        </w:rPr>
        <w:t>відповідати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вимогам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Законів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України</w:t>
      </w:r>
      <w:proofErr w:type="spellEnd"/>
      <w:r w:rsidRPr="00267C73">
        <w:rPr>
          <w:sz w:val="28"/>
          <w:szCs w:val="28"/>
          <w:lang w:val="ru-RU"/>
        </w:rPr>
        <w:t xml:space="preserve"> «Про </w:t>
      </w:r>
      <w:proofErr w:type="spellStart"/>
      <w:r w:rsidRPr="00267C73">
        <w:rPr>
          <w:sz w:val="28"/>
          <w:szCs w:val="28"/>
          <w:lang w:val="ru-RU"/>
        </w:rPr>
        <w:t>охорону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навколишнього</w:t>
      </w:r>
      <w:proofErr w:type="spellEnd"/>
      <w:r w:rsidRPr="00267C73">
        <w:rPr>
          <w:sz w:val="28"/>
          <w:szCs w:val="28"/>
          <w:lang w:val="ru-RU"/>
        </w:rPr>
        <w:t xml:space="preserve"> природного </w:t>
      </w:r>
      <w:proofErr w:type="spellStart"/>
      <w:r w:rsidRPr="00267C73">
        <w:rPr>
          <w:sz w:val="28"/>
          <w:szCs w:val="28"/>
          <w:lang w:val="ru-RU"/>
        </w:rPr>
        <w:t>середовища</w:t>
      </w:r>
      <w:proofErr w:type="spellEnd"/>
      <w:r w:rsidRPr="00267C73">
        <w:rPr>
          <w:sz w:val="28"/>
          <w:szCs w:val="28"/>
          <w:lang w:val="ru-RU"/>
        </w:rPr>
        <w:t xml:space="preserve">», </w:t>
      </w:r>
      <w:proofErr w:type="spellStart"/>
      <w:proofErr w:type="gramStart"/>
      <w:r w:rsidRPr="00267C73">
        <w:rPr>
          <w:sz w:val="28"/>
          <w:szCs w:val="28"/>
          <w:lang w:val="ru-RU"/>
        </w:rPr>
        <w:t>техн</w:t>
      </w:r>
      <w:proofErr w:type="gramEnd"/>
      <w:r w:rsidRPr="00267C73">
        <w:rPr>
          <w:sz w:val="28"/>
          <w:szCs w:val="28"/>
          <w:lang w:val="ru-RU"/>
        </w:rPr>
        <w:t>ічних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регламентів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діючих</w:t>
      </w:r>
      <w:proofErr w:type="spellEnd"/>
      <w:r w:rsidRPr="00267C73">
        <w:rPr>
          <w:sz w:val="28"/>
          <w:szCs w:val="28"/>
          <w:lang w:val="ru-RU"/>
        </w:rPr>
        <w:t xml:space="preserve"> на </w:t>
      </w:r>
      <w:proofErr w:type="spellStart"/>
      <w:r w:rsidRPr="00267C73">
        <w:rPr>
          <w:sz w:val="28"/>
          <w:szCs w:val="28"/>
          <w:lang w:val="ru-RU"/>
        </w:rPr>
        <w:t>території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України</w:t>
      </w:r>
      <w:proofErr w:type="spellEnd"/>
      <w:r w:rsidRPr="00267C73">
        <w:rPr>
          <w:sz w:val="28"/>
          <w:szCs w:val="28"/>
          <w:lang w:val="ru-RU"/>
        </w:rPr>
        <w:t xml:space="preserve">, </w:t>
      </w:r>
      <w:proofErr w:type="spellStart"/>
      <w:r w:rsidRPr="00267C73">
        <w:rPr>
          <w:sz w:val="28"/>
          <w:szCs w:val="28"/>
          <w:lang w:val="ru-RU"/>
        </w:rPr>
        <w:t>що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стосуються</w:t>
      </w:r>
      <w:proofErr w:type="spellEnd"/>
      <w:r w:rsidRPr="00267C73">
        <w:rPr>
          <w:sz w:val="28"/>
          <w:szCs w:val="28"/>
          <w:lang w:val="ru-RU"/>
        </w:rPr>
        <w:t xml:space="preserve"> предмету </w:t>
      </w:r>
      <w:proofErr w:type="spellStart"/>
      <w:r w:rsidRPr="00267C73">
        <w:rPr>
          <w:sz w:val="28"/>
          <w:szCs w:val="28"/>
          <w:lang w:val="ru-RU"/>
        </w:rPr>
        <w:t>закупівлі</w:t>
      </w:r>
      <w:proofErr w:type="spellEnd"/>
      <w:r w:rsidRPr="00267C73">
        <w:rPr>
          <w:sz w:val="28"/>
          <w:szCs w:val="28"/>
          <w:lang w:val="ru-RU"/>
        </w:rPr>
        <w:t xml:space="preserve"> та </w:t>
      </w:r>
      <w:proofErr w:type="spellStart"/>
      <w:r w:rsidRPr="00267C73">
        <w:rPr>
          <w:sz w:val="28"/>
          <w:szCs w:val="28"/>
          <w:lang w:val="ru-RU"/>
        </w:rPr>
        <w:t>інших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чинних</w:t>
      </w:r>
      <w:proofErr w:type="spellEnd"/>
      <w:r w:rsidRPr="00267C73">
        <w:rPr>
          <w:sz w:val="28"/>
          <w:szCs w:val="28"/>
          <w:lang w:val="ru-RU"/>
        </w:rPr>
        <w:t xml:space="preserve"> нормативно-</w:t>
      </w:r>
      <w:proofErr w:type="spellStart"/>
      <w:r w:rsidRPr="00267C73">
        <w:rPr>
          <w:sz w:val="28"/>
          <w:szCs w:val="28"/>
          <w:lang w:val="ru-RU"/>
        </w:rPr>
        <w:t>правових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актів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України</w:t>
      </w:r>
      <w:proofErr w:type="spellEnd"/>
      <w:r w:rsidRPr="00267C73">
        <w:rPr>
          <w:sz w:val="28"/>
          <w:szCs w:val="28"/>
          <w:lang w:val="ru-RU"/>
        </w:rPr>
        <w:t xml:space="preserve"> з </w:t>
      </w:r>
      <w:proofErr w:type="spellStart"/>
      <w:r w:rsidRPr="00267C73">
        <w:rPr>
          <w:sz w:val="28"/>
          <w:szCs w:val="28"/>
          <w:lang w:val="ru-RU"/>
        </w:rPr>
        <w:t>питань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екологічної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безпеки</w:t>
      </w:r>
      <w:proofErr w:type="spellEnd"/>
      <w:r w:rsidRPr="00267C73">
        <w:rPr>
          <w:sz w:val="28"/>
          <w:szCs w:val="28"/>
          <w:lang w:val="ru-RU"/>
        </w:rPr>
        <w:t xml:space="preserve">, </w:t>
      </w:r>
      <w:proofErr w:type="spellStart"/>
      <w:r w:rsidRPr="00267C73">
        <w:rPr>
          <w:sz w:val="28"/>
          <w:szCs w:val="28"/>
          <w:lang w:val="ru-RU"/>
        </w:rPr>
        <w:t>охорони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навколишнього</w:t>
      </w:r>
      <w:proofErr w:type="spellEnd"/>
      <w:r w:rsidRPr="00267C73">
        <w:rPr>
          <w:sz w:val="28"/>
          <w:szCs w:val="28"/>
          <w:lang w:val="ru-RU"/>
        </w:rPr>
        <w:t xml:space="preserve"> природного </w:t>
      </w:r>
      <w:proofErr w:type="spellStart"/>
      <w:r w:rsidRPr="00267C73">
        <w:rPr>
          <w:sz w:val="28"/>
          <w:szCs w:val="28"/>
          <w:lang w:val="ru-RU"/>
        </w:rPr>
        <w:t>середовища</w:t>
      </w:r>
      <w:proofErr w:type="spellEnd"/>
      <w:r w:rsidRPr="00267C73">
        <w:rPr>
          <w:sz w:val="28"/>
          <w:szCs w:val="28"/>
          <w:lang w:val="ru-RU"/>
        </w:rPr>
        <w:t xml:space="preserve">, </w:t>
      </w:r>
      <w:proofErr w:type="spellStart"/>
      <w:r w:rsidRPr="00267C73">
        <w:rPr>
          <w:sz w:val="28"/>
          <w:szCs w:val="28"/>
          <w:lang w:val="ru-RU"/>
        </w:rPr>
        <w:t>пожежної</w:t>
      </w:r>
      <w:proofErr w:type="spellEnd"/>
      <w:r w:rsidRPr="00267C73">
        <w:rPr>
          <w:sz w:val="28"/>
          <w:szCs w:val="28"/>
          <w:lang w:val="ru-RU"/>
        </w:rPr>
        <w:t xml:space="preserve"> та </w:t>
      </w:r>
      <w:proofErr w:type="spellStart"/>
      <w:r w:rsidRPr="00267C73">
        <w:rPr>
          <w:sz w:val="28"/>
          <w:szCs w:val="28"/>
          <w:lang w:val="ru-RU"/>
        </w:rPr>
        <w:t>техногенної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безпеки</w:t>
      </w:r>
      <w:proofErr w:type="spellEnd"/>
      <w:r w:rsidRPr="00267C73">
        <w:rPr>
          <w:sz w:val="28"/>
          <w:szCs w:val="28"/>
          <w:lang w:val="ru-RU"/>
        </w:rPr>
        <w:t xml:space="preserve">, </w:t>
      </w:r>
      <w:proofErr w:type="spellStart"/>
      <w:r w:rsidRPr="00267C73">
        <w:rPr>
          <w:sz w:val="28"/>
          <w:szCs w:val="28"/>
          <w:lang w:val="ru-RU"/>
        </w:rPr>
        <w:t>охорони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праці</w:t>
      </w:r>
      <w:proofErr w:type="spellEnd"/>
      <w:r w:rsidRPr="00267C73">
        <w:rPr>
          <w:sz w:val="28"/>
          <w:szCs w:val="28"/>
          <w:lang w:val="ru-RU"/>
        </w:rPr>
        <w:t xml:space="preserve"> та </w:t>
      </w:r>
      <w:proofErr w:type="spellStart"/>
      <w:r w:rsidRPr="00267C73">
        <w:rPr>
          <w:sz w:val="28"/>
          <w:szCs w:val="28"/>
          <w:lang w:val="ru-RU"/>
        </w:rPr>
        <w:t>виробничої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санітарії</w:t>
      </w:r>
      <w:proofErr w:type="spellEnd"/>
      <w:r w:rsidRPr="00267C73">
        <w:rPr>
          <w:sz w:val="28"/>
          <w:szCs w:val="28"/>
          <w:lang w:val="ru-RU"/>
        </w:rPr>
        <w:t>.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  <w:lang w:val="ru-RU"/>
        </w:rPr>
      </w:pPr>
      <w:r w:rsidRPr="00267C73">
        <w:rPr>
          <w:sz w:val="28"/>
          <w:szCs w:val="28"/>
          <w:lang w:val="ru-RU"/>
        </w:rPr>
        <w:t xml:space="preserve">            4. </w:t>
      </w:r>
      <w:proofErr w:type="spellStart"/>
      <w:r w:rsidRPr="00267C73">
        <w:rPr>
          <w:sz w:val="28"/>
          <w:szCs w:val="28"/>
          <w:lang w:val="ru-RU"/>
        </w:rPr>
        <w:t>Транспортні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послуги</w:t>
      </w:r>
      <w:proofErr w:type="spellEnd"/>
      <w:r w:rsidRPr="00267C73">
        <w:rPr>
          <w:sz w:val="28"/>
          <w:szCs w:val="28"/>
          <w:lang w:val="ru-RU"/>
        </w:rPr>
        <w:t xml:space="preserve"> та </w:t>
      </w:r>
      <w:proofErr w:type="spellStart"/>
      <w:r w:rsidRPr="00267C73">
        <w:rPr>
          <w:sz w:val="28"/>
          <w:szCs w:val="28"/>
          <w:lang w:val="ru-RU"/>
        </w:rPr>
        <w:t>інші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витрати</w:t>
      </w:r>
      <w:proofErr w:type="spellEnd"/>
      <w:r w:rsidRPr="00267C73">
        <w:rPr>
          <w:sz w:val="28"/>
          <w:szCs w:val="28"/>
          <w:lang w:val="ru-RU"/>
        </w:rPr>
        <w:t xml:space="preserve"> (</w:t>
      </w:r>
      <w:proofErr w:type="spellStart"/>
      <w:r w:rsidRPr="00267C73">
        <w:rPr>
          <w:sz w:val="28"/>
          <w:szCs w:val="28"/>
          <w:lang w:val="ru-RU"/>
        </w:rPr>
        <w:t>пакування</w:t>
      </w:r>
      <w:proofErr w:type="spellEnd"/>
      <w:r w:rsidRPr="00267C73">
        <w:rPr>
          <w:sz w:val="28"/>
          <w:szCs w:val="28"/>
          <w:lang w:val="ru-RU"/>
        </w:rPr>
        <w:t xml:space="preserve">, </w:t>
      </w:r>
      <w:proofErr w:type="spellStart"/>
      <w:r w:rsidRPr="00267C73">
        <w:rPr>
          <w:sz w:val="28"/>
          <w:szCs w:val="28"/>
          <w:lang w:val="ru-RU"/>
        </w:rPr>
        <w:t>розвантажувальні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роботи</w:t>
      </w:r>
      <w:proofErr w:type="spellEnd"/>
      <w:r w:rsidRPr="00267C73">
        <w:rPr>
          <w:sz w:val="28"/>
          <w:szCs w:val="28"/>
          <w:lang w:val="ru-RU"/>
        </w:rPr>
        <w:t xml:space="preserve"> в </w:t>
      </w:r>
      <w:proofErr w:type="spellStart"/>
      <w:r w:rsidRPr="00267C73">
        <w:rPr>
          <w:sz w:val="28"/>
          <w:szCs w:val="28"/>
          <w:lang w:val="ru-RU"/>
        </w:rPr>
        <w:t>складське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приміщення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Покупця</w:t>
      </w:r>
      <w:proofErr w:type="spellEnd"/>
      <w:r w:rsidRPr="00267C73">
        <w:rPr>
          <w:sz w:val="28"/>
          <w:szCs w:val="28"/>
          <w:lang w:val="ru-RU"/>
        </w:rPr>
        <w:t xml:space="preserve">) </w:t>
      </w:r>
      <w:proofErr w:type="spellStart"/>
      <w:r w:rsidRPr="00267C73">
        <w:rPr>
          <w:sz w:val="28"/>
          <w:szCs w:val="28"/>
          <w:lang w:val="ru-RU"/>
        </w:rPr>
        <w:t>повинні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здійснюватися</w:t>
      </w:r>
      <w:proofErr w:type="spellEnd"/>
      <w:r w:rsidRPr="00267C73">
        <w:rPr>
          <w:sz w:val="28"/>
          <w:szCs w:val="28"/>
          <w:lang w:val="ru-RU"/>
        </w:rPr>
        <w:t xml:space="preserve"> за </w:t>
      </w:r>
      <w:proofErr w:type="spellStart"/>
      <w:r w:rsidRPr="00267C73">
        <w:rPr>
          <w:sz w:val="28"/>
          <w:szCs w:val="28"/>
          <w:lang w:val="ru-RU"/>
        </w:rPr>
        <w:t>рахунок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Постачальника</w:t>
      </w:r>
      <w:proofErr w:type="spellEnd"/>
      <w:r w:rsidRPr="00267C73">
        <w:rPr>
          <w:sz w:val="28"/>
          <w:szCs w:val="28"/>
          <w:lang w:val="ru-RU"/>
        </w:rPr>
        <w:t>.</w:t>
      </w:r>
    </w:p>
    <w:p w:rsidR="00267C73" w:rsidRPr="00267C73" w:rsidRDefault="00267C73" w:rsidP="00267C73">
      <w:pPr>
        <w:ind w:right="329"/>
        <w:jc w:val="both"/>
        <w:rPr>
          <w:sz w:val="28"/>
          <w:szCs w:val="28"/>
          <w:lang w:val="ru-RU"/>
        </w:rPr>
      </w:pPr>
      <w:r w:rsidRPr="00267C73">
        <w:rPr>
          <w:sz w:val="28"/>
          <w:szCs w:val="28"/>
          <w:lang w:val="ru-RU"/>
        </w:rPr>
        <w:t xml:space="preserve">            5. Доставку Товару </w:t>
      </w:r>
      <w:proofErr w:type="spellStart"/>
      <w:r w:rsidRPr="00267C73">
        <w:rPr>
          <w:sz w:val="28"/>
          <w:szCs w:val="28"/>
          <w:lang w:val="ru-RU"/>
        </w:rPr>
        <w:t>здійснює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Постачальник</w:t>
      </w:r>
      <w:proofErr w:type="spellEnd"/>
      <w:r w:rsidRPr="00267C73">
        <w:rPr>
          <w:sz w:val="28"/>
          <w:szCs w:val="28"/>
          <w:lang w:val="ru-RU"/>
        </w:rPr>
        <w:t xml:space="preserve">, про </w:t>
      </w:r>
      <w:proofErr w:type="spellStart"/>
      <w:r w:rsidRPr="00267C73">
        <w:rPr>
          <w:sz w:val="28"/>
          <w:szCs w:val="28"/>
          <w:lang w:val="ru-RU"/>
        </w:rPr>
        <w:t>що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Учасник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має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надати</w:t>
      </w:r>
      <w:proofErr w:type="spellEnd"/>
      <w:r w:rsidRPr="00267C73">
        <w:rPr>
          <w:sz w:val="28"/>
          <w:szCs w:val="28"/>
          <w:lang w:val="ru-RU"/>
        </w:rPr>
        <w:t xml:space="preserve"> </w:t>
      </w:r>
      <w:proofErr w:type="spellStart"/>
      <w:r w:rsidRPr="00267C73">
        <w:rPr>
          <w:sz w:val="28"/>
          <w:szCs w:val="28"/>
          <w:lang w:val="ru-RU"/>
        </w:rPr>
        <w:t>гарантійний</w:t>
      </w:r>
      <w:proofErr w:type="spellEnd"/>
      <w:r w:rsidRPr="00267C73">
        <w:rPr>
          <w:sz w:val="28"/>
          <w:szCs w:val="28"/>
          <w:lang w:val="ru-RU"/>
        </w:rPr>
        <w:t xml:space="preserve"> лист.</w:t>
      </w:r>
    </w:p>
    <w:p w:rsidR="00267C73" w:rsidRPr="00267C73" w:rsidRDefault="00267C73" w:rsidP="00267C73">
      <w:pPr>
        <w:ind w:right="329"/>
        <w:jc w:val="both"/>
        <w:rPr>
          <w:lang w:val="ru-RU"/>
        </w:rPr>
      </w:pPr>
    </w:p>
    <w:p w:rsidR="00D0724B" w:rsidRPr="00267C73" w:rsidRDefault="00D0724B" w:rsidP="007919B9">
      <w:pPr>
        <w:ind w:firstLine="567"/>
        <w:contextualSpacing/>
        <w:jc w:val="both"/>
        <w:rPr>
          <w:color w:val="000000" w:themeColor="text1"/>
          <w:sz w:val="28"/>
          <w:szCs w:val="28"/>
          <w:lang w:val="ru-RU"/>
        </w:rPr>
      </w:pPr>
    </w:p>
    <w:p w:rsidR="00D2380B" w:rsidRPr="00267C73" w:rsidRDefault="00267C73" w:rsidP="00E80BFE">
      <w:pPr>
        <w:ind w:firstLine="567"/>
        <w:contextualSpacing/>
        <w:jc w:val="both"/>
        <w:rPr>
          <w:rFonts w:eastAsia="Calibri"/>
          <w:color w:val="000000"/>
          <w:sz w:val="28"/>
          <w:szCs w:val="28"/>
        </w:rPr>
      </w:pPr>
      <w:r w:rsidRPr="00267C73">
        <w:rPr>
          <w:b/>
          <w:sz w:val="28"/>
          <w:szCs w:val="28"/>
        </w:rPr>
        <w:t>5</w:t>
      </w:r>
      <w:r w:rsidR="00A0247F" w:rsidRPr="00267C73">
        <w:rPr>
          <w:b/>
          <w:sz w:val="28"/>
          <w:szCs w:val="28"/>
        </w:rPr>
        <w:t>. Обґрунтування розміру бюджетного призначення:</w:t>
      </w:r>
      <w:r w:rsidR="00A0247F" w:rsidRPr="00267C73">
        <w:rPr>
          <w:sz w:val="28"/>
          <w:szCs w:val="28"/>
        </w:rPr>
        <w:t xml:space="preserve"> розмір бюджетного призначення </w:t>
      </w:r>
      <w:r w:rsidR="0044255F" w:rsidRPr="00267C73">
        <w:rPr>
          <w:sz w:val="28"/>
          <w:szCs w:val="28"/>
        </w:rPr>
        <w:t>для предмет</w:t>
      </w:r>
      <w:r w:rsidR="00D2380B" w:rsidRPr="00267C73">
        <w:rPr>
          <w:sz w:val="28"/>
          <w:szCs w:val="28"/>
        </w:rPr>
        <w:t>а</w:t>
      </w:r>
      <w:r w:rsidR="0044255F" w:rsidRPr="00267C73">
        <w:rPr>
          <w:sz w:val="28"/>
          <w:szCs w:val="28"/>
        </w:rPr>
        <w:t xml:space="preserve"> закупів</w:t>
      </w:r>
      <w:r w:rsidR="00D2380B" w:rsidRPr="00267C73">
        <w:rPr>
          <w:sz w:val="28"/>
          <w:szCs w:val="28"/>
        </w:rPr>
        <w:t>лі:</w:t>
      </w:r>
      <w:r w:rsidR="0081393A" w:rsidRPr="0081393A">
        <w:t xml:space="preserve"> </w:t>
      </w:r>
      <w:proofErr w:type="spellStart"/>
      <w:r w:rsidR="0081393A" w:rsidRPr="0081393A">
        <w:rPr>
          <w:sz w:val="28"/>
          <w:szCs w:val="28"/>
        </w:rPr>
        <w:t>відеореєстратор</w:t>
      </w:r>
      <w:proofErr w:type="spellEnd"/>
      <w:r w:rsidR="0081393A" w:rsidRPr="0081393A">
        <w:rPr>
          <w:sz w:val="28"/>
          <w:szCs w:val="28"/>
        </w:rPr>
        <w:t xml:space="preserve"> гібридний (для підключення аналогових та цифрових відеокамер одночасно)</w:t>
      </w:r>
      <w:bookmarkStart w:id="0" w:name="_GoBack"/>
      <w:bookmarkEnd w:id="0"/>
      <w:r w:rsidR="00596C53" w:rsidRPr="00267C73">
        <w:rPr>
          <w:sz w:val="28"/>
          <w:szCs w:val="28"/>
        </w:rPr>
        <w:t xml:space="preserve"> </w:t>
      </w:r>
      <w:r w:rsidR="00E80BFE" w:rsidRPr="00267C73">
        <w:rPr>
          <w:rFonts w:eastAsia="Calibri"/>
          <w:iCs/>
          <w:color w:val="000000"/>
          <w:spacing w:val="4"/>
          <w:sz w:val="28"/>
          <w:szCs w:val="28"/>
        </w:rPr>
        <w:t xml:space="preserve">за </w:t>
      </w:r>
      <w:r w:rsidR="00E80BFE" w:rsidRPr="00267C73">
        <w:rPr>
          <w:color w:val="000000"/>
          <w:sz w:val="28"/>
          <w:szCs w:val="28"/>
          <w:lang w:eastAsia="uk-UA"/>
        </w:rPr>
        <w:t>ДК 021:2015 32320000-2 Телевізійне й аудіовізуальне обладнання</w:t>
      </w:r>
      <w:r w:rsidR="00596C53" w:rsidRPr="00267C73">
        <w:rPr>
          <w:rFonts w:eastAsia="Calibri"/>
          <w:color w:val="000000"/>
          <w:sz w:val="28"/>
          <w:szCs w:val="28"/>
        </w:rPr>
        <w:t xml:space="preserve"> </w:t>
      </w:r>
      <w:r w:rsidR="00D2380B" w:rsidRPr="00267C73">
        <w:rPr>
          <w:sz w:val="28"/>
          <w:szCs w:val="28"/>
        </w:rPr>
        <w:t>відповідає розрахунку видатків до кошторису Сумської митниці на 202</w:t>
      </w:r>
      <w:r w:rsidR="001776FD" w:rsidRPr="00267C73">
        <w:rPr>
          <w:sz w:val="28"/>
          <w:szCs w:val="28"/>
        </w:rPr>
        <w:t>4</w:t>
      </w:r>
      <w:r w:rsidR="00D2380B" w:rsidRPr="00267C73">
        <w:rPr>
          <w:sz w:val="28"/>
          <w:szCs w:val="28"/>
        </w:rPr>
        <w:t>рік (загальний фонд) за КПКВК 3506010 «Керівництво та управління у сфері митної політики».</w:t>
      </w:r>
    </w:p>
    <w:p w:rsidR="00A9415E" w:rsidRPr="00267C73" w:rsidRDefault="00A9415E" w:rsidP="00A9415E">
      <w:pPr>
        <w:tabs>
          <w:tab w:val="left" w:pos="360"/>
          <w:tab w:val="left" w:pos="720"/>
        </w:tabs>
        <w:contextualSpacing/>
        <w:jc w:val="both"/>
        <w:rPr>
          <w:rFonts w:eastAsia="Calibri"/>
          <w:color w:val="000000"/>
          <w:sz w:val="28"/>
          <w:szCs w:val="28"/>
        </w:rPr>
      </w:pPr>
    </w:p>
    <w:p w:rsidR="007F146A" w:rsidRPr="00267C73" w:rsidRDefault="00BD6D29" w:rsidP="007919B9">
      <w:pPr>
        <w:ind w:firstLine="567"/>
        <w:contextualSpacing/>
        <w:jc w:val="both"/>
        <w:rPr>
          <w:sz w:val="28"/>
          <w:szCs w:val="28"/>
        </w:rPr>
      </w:pPr>
      <w:r w:rsidRPr="00267C73">
        <w:rPr>
          <w:b/>
          <w:sz w:val="28"/>
          <w:szCs w:val="28"/>
        </w:rPr>
        <w:t>5</w:t>
      </w:r>
      <w:r w:rsidR="00A0247F" w:rsidRPr="00267C73">
        <w:rPr>
          <w:b/>
          <w:sz w:val="28"/>
          <w:szCs w:val="28"/>
        </w:rPr>
        <w:t>. Очікувана вартість предмета закупівлі:</w:t>
      </w:r>
      <w:r w:rsidR="00694D23" w:rsidRPr="00267C73">
        <w:rPr>
          <w:b/>
          <w:sz w:val="28"/>
          <w:szCs w:val="28"/>
        </w:rPr>
        <w:t xml:space="preserve"> </w:t>
      </w:r>
      <w:r w:rsidR="00E80BFE" w:rsidRPr="00267C73">
        <w:rPr>
          <w:sz w:val="28"/>
          <w:szCs w:val="28"/>
        </w:rPr>
        <w:t>10000</w:t>
      </w:r>
      <w:r w:rsidR="00694D23" w:rsidRPr="00267C73">
        <w:rPr>
          <w:sz w:val="28"/>
          <w:szCs w:val="28"/>
        </w:rPr>
        <w:t>,00</w:t>
      </w:r>
      <w:r w:rsidR="00500435" w:rsidRPr="00267C73">
        <w:rPr>
          <w:b/>
          <w:sz w:val="28"/>
          <w:szCs w:val="28"/>
        </w:rPr>
        <w:t xml:space="preserve"> </w:t>
      </w:r>
      <w:r w:rsidR="007C2BD8" w:rsidRPr="00267C73">
        <w:rPr>
          <w:sz w:val="28"/>
          <w:szCs w:val="28"/>
        </w:rPr>
        <w:t>грн</w:t>
      </w:r>
      <w:r w:rsidR="000B1694" w:rsidRPr="00267C73">
        <w:rPr>
          <w:sz w:val="28"/>
          <w:szCs w:val="28"/>
        </w:rPr>
        <w:t>.</w:t>
      </w:r>
      <w:r w:rsidR="007C2BD8" w:rsidRPr="00267C73">
        <w:rPr>
          <w:sz w:val="28"/>
          <w:szCs w:val="28"/>
        </w:rPr>
        <w:t xml:space="preserve"> </w:t>
      </w:r>
      <w:r w:rsidR="000B1694" w:rsidRPr="00267C73">
        <w:rPr>
          <w:sz w:val="28"/>
          <w:szCs w:val="28"/>
        </w:rPr>
        <w:t>з ПДВ.</w:t>
      </w:r>
      <w:r w:rsidR="007C2BD8" w:rsidRPr="00267C73">
        <w:rPr>
          <w:sz w:val="28"/>
          <w:szCs w:val="28"/>
        </w:rPr>
        <w:t xml:space="preserve"> </w:t>
      </w:r>
    </w:p>
    <w:p w:rsidR="007F146A" w:rsidRPr="00267C73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267C73">
        <w:rPr>
          <w:sz w:val="28"/>
          <w:szCs w:val="28"/>
        </w:rPr>
        <w:t xml:space="preserve"> </w:t>
      </w:r>
    </w:p>
    <w:p w:rsidR="00964E6F" w:rsidRPr="00267C73" w:rsidRDefault="00BD6D29" w:rsidP="007919B9">
      <w:pPr>
        <w:ind w:firstLine="567"/>
        <w:contextualSpacing/>
        <w:jc w:val="both"/>
        <w:rPr>
          <w:sz w:val="28"/>
          <w:szCs w:val="28"/>
        </w:rPr>
      </w:pPr>
      <w:r w:rsidRPr="00267C73">
        <w:rPr>
          <w:b/>
          <w:sz w:val="28"/>
          <w:szCs w:val="28"/>
        </w:rPr>
        <w:t>6</w:t>
      </w:r>
      <w:r w:rsidR="00A0247F" w:rsidRPr="00267C73">
        <w:rPr>
          <w:b/>
          <w:sz w:val="28"/>
          <w:szCs w:val="28"/>
        </w:rPr>
        <w:t>. Обґрунтування очікуваної вартості предмета закупівлі:</w:t>
      </w:r>
      <w:r w:rsidR="00A0247F" w:rsidRPr="00267C73">
        <w:rPr>
          <w:sz w:val="28"/>
          <w:szCs w:val="28"/>
        </w:rPr>
        <w:t xml:space="preserve"> </w:t>
      </w:r>
    </w:p>
    <w:p w:rsidR="004B14B0" w:rsidRPr="00267C73" w:rsidRDefault="004B14B0" w:rsidP="007919B9">
      <w:pPr>
        <w:ind w:firstLine="567"/>
        <w:contextualSpacing/>
        <w:jc w:val="both"/>
        <w:rPr>
          <w:sz w:val="28"/>
          <w:szCs w:val="28"/>
        </w:rPr>
      </w:pPr>
    </w:p>
    <w:p w:rsidR="007B3889" w:rsidRPr="00267C73" w:rsidRDefault="007B3889" w:rsidP="007C2BD8">
      <w:pPr>
        <w:tabs>
          <w:tab w:val="left" w:pos="851"/>
        </w:tabs>
        <w:spacing w:after="120"/>
        <w:ind w:firstLine="567"/>
        <w:jc w:val="both"/>
        <w:rPr>
          <w:sz w:val="28"/>
          <w:szCs w:val="28"/>
        </w:rPr>
      </w:pPr>
      <w:r w:rsidRPr="00267C73">
        <w:rPr>
          <w:sz w:val="28"/>
          <w:szCs w:val="28"/>
        </w:rPr>
        <w:t>Очікуван</w:t>
      </w:r>
      <w:r w:rsidR="00104B41" w:rsidRPr="00267C73">
        <w:rPr>
          <w:sz w:val="28"/>
          <w:szCs w:val="28"/>
        </w:rPr>
        <w:t>у</w:t>
      </w:r>
      <w:r w:rsidRPr="00267C73">
        <w:rPr>
          <w:sz w:val="28"/>
          <w:szCs w:val="28"/>
        </w:rPr>
        <w:t xml:space="preserve"> вартість предмета закупівлі </w:t>
      </w:r>
      <w:r w:rsidR="005B6B5A" w:rsidRPr="00267C73">
        <w:rPr>
          <w:sz w:val="28"/>
          <w:szCs w:val="28"/>
        </w:rPr>
        <w:t>здійснено на підставі середньої ціни на ринку, а саме загальнодоступної відкритої інформації про ціни шляхом моніторингу ринкових цін на аналогічн</w:t>
      </w:r>
      <w:r w:rsidR="00366F62" w:rsidRPr="00267C73">
        <w:rPr>
          <w:sz w:val="28"/>
          <w:szCs w:val="28"/>
        </w:rPr>
        <w:t>і</w:t>
      </w:r>
      <w:r w:rsidR="005B6B5A" w:rsidRPr="00267C73">
        <w:rPr>
          <w:sz w:val="28"/>
          <w:szCs w:val="28"/>
        </w:rPr>
        <w:t xml:space="preserve"> </w:t>
      </w:r>
      <w:r w:rsidR="00267C73" w:rsidRPr="00267C73">
        <w:rPr>
          <w:sz w:val="28"/>
          <w:szCs w:val="28"/>
        </w:rPr>
        <w:t>товари</w:t>
      </w:r>
      <w:r w:rsidR="00366F62" w:rsidRPr="00267C73">
        <w:rPr>
          <w:sz w:val="28"/>
          <w:szCs w:val="28"/>
        </w:rPr>
        <w:t xml:space="preserve"> </w:t>
      </w:r>
      <w:r w:rsidR="005B6B5A" w:rsidRPr="00267C73">
        <w:rPr>
          <w:sz w:val="28"/>
          <w:szCs w:val="28"/>
        </w:rPr>
        <w:t>в мережі Інтернет</w:t>
      </w:r>
      <w:r w:rsidR="004C158D" w:rsidRPr="00267C73">
        <w:rPr>
          <w:sz w:val="28"/>
          <w:szCs w:val="28"/>
        </w:rPr>
        <w:t>.</w:t>
      </w:r>
    </w:p>
    <w:p w:rsidR="00964E6F" w:rsidRPr="007C2BD8" w:rsidRDefault="00964E6F" w:rsidP="00A0247F">
      <w:pPr>
        <w:ind w:firstLine="709"/>
        <w:contextualSpacing/>
        <w:jc w:val="both"/>
        <w:rPr>
          <w:sz w:val="28"/>
          <w:szCs w:val="28"/>
        </w:rPr>
      </w:pPr>
    </w:p>
    <w:sectPr w:rsidR="00964E6F" w:rsidRPr="007C2BD8" w:rsidSect="00267C73">
      <w:headerReference w:type="default" r:id="rId8"/>
      <w:headerReference w:type="first" r:id="rId9"/>
      <w:pgSz w:w="11906" w:h="16838" w:code="9"/>
      <w:pgMar w:top="567" w:right="680" w:bottom="1134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616" w:rsidRDefault="00094616">
      <w:r>
        <w:separator/>
      </w:r>
    </w:p>
  </w:endnote>
  <w:endnote w:type="continuationSeparator" w:id="0">
    <w:p w:rsidR="00094616" w:rsidRDefault="000946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616" w:rsidRDefault="00094616">
      <w:r>
        <w:separator/>
      </w:r>
    </w:p>
  </w:footnote>
  <w:footnote w:type="continuationSeparator" w:id="0">
    <w:p w:rsidR="00094616" w:rsidRDefault="000946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29A3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94616"/>
    <w:rsid w:val="000A043A"/>
    <w:rsid w:val="000A21B9"/>
    <w:rsid w:val="000A2D5D"/>
    <w:rsid w:val="000A7953"/>
    <w:rsid w:val="000B046E"/>
    <w:rsid w:val="000B1664"/>
    <w:rsid w:val="000B1694"/>
    <w:rsid w:val="000B2DE7"/>
    <w:rsid w:val="000B32AB"/>
    <w:rsid w:val="000B3A1E"/>
    <w:rsid w:val="000B3D65"/>
    <w:rsid w:val="000B48C1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B41"/>
    <w:rsid w:val="00104E63"/>
    <w:rsid w:val="00105762"/>
    <w:rsid w:val="00107AEC"/>
    <w:rsid w:val="00113892"/>
    <w:rsid w:val="00120C76"/>
    <w:rsid w:val="0012146E"/>
    <w:rsid w:val="0012724F"/>
    <w:rsid w:val="00131374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776FD"/>
    <w:rsid w:val="00180730"/>
    <w:rsid w:val="00181447"/>
    <w:rsid w:val="00183523"/>
    <w:rsid w:val="00184A9A"/>
    <w:rsid w:val="00184E90"/>
    <w:rsid w:val="0018585C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67C73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24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66F62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4B0"/>
    <w:rsid w:val="004B1CC4"/>
    <w:rsid w:val="004B2568"/>
    <w:rsid w:val="004B2AB4"/>
    <w:rsid w:val="004B31A9"/>
    <w:rsid w:val="004B790A"/>
    <w:rsid w:val="004C0ABF"/>
    <w:rsid w:val="004C158D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13F2"/>
    <w:rsid w:val="00563A6F"/>
    <w:rsid w:val="00565518"/>
    <w:rsid w:val="00565CC0"/>
    <w:rsid w:val="00566F16"/>
    <w:rsid w:val="005677DB"/>
    <w:rsid w:val="00567C05"/>
    <w:rsid w:val="00567EA9"/>
    <w:rsid w:val="00571635"/>
    <w:rsid w:val="00571924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96C53"/>
    <w:rsid w:val="005A1CA1"/>
    <w:rsid w:val="005A1E6C"/>
    <w:rsid w:val="005A44F6"/>
    <w:rsid w:val="005A6B49"/>
    <w:rsid w:val="005A6E6E"/>
    <w:rsid w:val="005B293B"/>
    <w:rsid w:val="005B587F"/>
    <w:rsid w:val="005B6731"/>
    <w:rsid w:val="005B6B5A"/>
    <w:rsid w:val="005C2F18"/>
    <w:rsid w:val="005C5900"/>
    <w:rsid w:val="005C5F2B"/>
    <w:rsid w:val="005C6726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3814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053"/>
    <w:rsid w:val="00614E01"/>
    <w:rsid w:val="0061676C"/>
    <w:rsid w:val="00620A74"/>
    <w:rsid w:val="00623E05"/>
    <w:rsid w:val="0062483A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4D23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1FC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7F49AD"/>
    <w:rsid w:val="0080144A"/>
    <w:rsid w:val="00801C5D"/>
    <w:rsid w:val="00803C3A"/>
    <w:rsid w:val="00804FFD"/>
    <w:rsid w:val="00805E07"/>
    <w:rsid w:val="0080775B"/>
    <w:rsid w:val="00811007"/>
    <w:rsid w:val="00811426"/>
    <w:rsid w:val="0081393A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50B5"/>
    <w:rsid w:val="008A6F0B"/>
    <w:rsid w:val="008A7402"/>
    <w:rsid w:val="008B179D"/>
    <w:rsid w:val="008B1AE8"/>
    <w:rsid w:val="008B21B9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090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256A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03C6"/>
    <w:rsid w:val="00A42316"/>
    <w:rsid w:val="00A42D1C"/>
    <w:rsid w:val="00A4321C"/>
    <w:rsid w:val="00A45800"/>
    <w:rsid w:val="00A47E66"/>
    <w:rsid w:val="00A5514B"/>
    <w:rsid w:val="00A61BE2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15E"/>
    <w:rsid w:val="00A949DE"/>
    <w:rsid w:val="00A96C94"/>
    <w:rsid w:val="00AA156C"/>
    <w:rsid w:val="00AA21F6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B48"/>
    <w:rsid w:val="00AB7CD0"/>
    <w:rsid w:val="00AC28CF"/>
    <w:rsid w:val="00AC3DE9"/>
    <w:rsid w:val="00AC4DF6"/>
    <w:rsid w:val="00AD1CEB"/>
    <w:rsid w:val="00AD27A1"/>
    <w:rsid w:val="00AD2AEC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0203D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61EC"/>
    <w:rsid w:val="00B701E1"/>
    <w:rsid w:val="00B70D79"/>
    <w:rsid w:val="00B741E8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CCF"/>
    <w:rsid w:val="00BD4DB4"/>
    <w:rsid w:val="00BD5399"/>
    <w:rsid w:val="00BD68E7"/>
    <w:rsid w:val="00BD6C22"/>
    <w:rsid w:val="00BD6D29"/>
    <w:rsid w:val="00BE04E6"/>
    <w:rsid w:val="00BE5462"/>
    <w:rsid w:val="00BE6112"/>
    <w:rsid w:val="00BE6F8A"/>
    <w:rsid w:val="00BE771E"/>
    <w:rsid w:val="00BE7F17"/>
    <w:rsid w:val="00BE7F89"/>
    <w:rsid w:val="00C01A7E"/>
    <w:rsid w:val="00C04A03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5B84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D66B9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1FA5"/>
    <w:rsid w:val="00D03559"/>
    <w:rsid w:val="00D042A3"/>
    <w:rsid w:val="00D0481D"/>
    <w:rsid w:val="00D0627C"/>
    <w:rsid w:val="00D06541"/>
    <w:rsid w:val="00D07235"/>
    <w:rsid w:val="00D0724B"/>
    <w:rsid w:val="00D10807"/>
    <w:rsid w:val="00D16928"/>
    <w:rsid w:val="00D204F9"/>
    <w:rsid w:val="00D2380B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2885"/>
    <w:rsid w:val="00D9502A"/>
    <w:rsid w:val="00DA065C"/>
    <w:rsid w:val="00DA096E"/>
    <w:rsid w:val="00DA1175"/>
    <w:rsid w:val="00DA3195"/>
    <w:rsid w:val="00DA3D23"/>
    <w:rsid w:val="00DA478B"/>
    <w:rsid w:val="00DA48D5"/>
    <w:rsid w:val="00DA4C4E"/>
    <w:rsid w:val="00DA4DE2"/>
    <w:rsid w:val="00DA7A15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4C8A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0BFE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47C6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18EE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1BD9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1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ітки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ітки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і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і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и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ий текст з від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и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ий текст з від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link w:val="aff4"/>
    <w:uiPriority w:val="1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у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5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5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6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Звичайни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  <w:style w:type="character" w:customStyle="1" w:styleId="aff4">
    <w:name w:val="Без інтервалів Знак"/>
    <w:link w:val="aff3"/>
    <w:uiPriority w:val="1"/>
    <w:locked/>
    <w:rsid w:val="00D0724B"/>
    <w:rPr>
      <w:rFonts w:eastAsia="Times New Roman"/>
      <w:sz w:val="22"/>
      <w:szCs w:val="22"/>
      <w:lang w:val="ru-RU" w:eastAsia="ru-RU"/>
    </w:rPr>
  </w:style>
  <w:style w:type="character" w:customStyle="1" w:styleId="fw500">
    <w:name w:val="fw(500)"/>
    <w:basedOn w:val="a2"/>
    <w:rsid w:val="00CD66B9"/>
  </w:style>
  <w:style w:type="character" w:customStyle="1" w:styleId="valignt">
    <w:name w:val="valign(t)"/>
    <w:basedOn w:val="a2"/>
    <w:rsid w:val="00CD66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852</Words>
  <Characters>4857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ТД ПРЕДМЕТ</vt:lpstr>
      <vt:lpstr>ТД ПРЕДМЕТ</vt:lpstr>
    </vt:vector>
  </TitlesOfParts>
  <LinksUpToDate>false</LinksUpToDate>
  <CharactersWithSpaces>5698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2023-03-17T07:28:00Z</dcterms:created>
  <dcterms:modified xsi:type="dcterms:W3CDTF">2024-11-06T13:06:00Z</dcterms:modified>
</cp:coreProperties>
</file>