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FE647B" w:rsidRDefault="009610A5" w:rsidP="00FE647B"/>
    <w:p w:rsidR="009610A5" w:rsidRDefault="009610A5" w:rsidP="00FE647B">
      <w:pPr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B0E48" w:rsidRPr="00FE647B" w:rsidRDefault="005B0E48" w:rsidP="00FE647B">
      <w:pPr>
        <w:jc w:val="center"/>
        <w:rPr>
          <w:b/>
          <w:sz w:val="28"/>
        </w:rPr>
      </w:pPr>
      <w:r w:rsidRPr="005B0E48">
        <w:rPr>
          <w:b/>
          <w:sz w:val="28"/>
        </w:rPr>
        <w:t>UA-2024-11-07-010826-a</w:t>
      </w:r>
      <w:bookmarkStart w:id="0" w:name="_GoBack"/>
      <w:bookmarkEnd w:id="0"/>
    </w:p>
    <w:p w:rsidR="009610A5" w:rsidRPr="00FE647B" w:rsidRDefault="009610A5" w:rsidP="00FE647B"/>
    <w:p w:rsidR="00CB42A6" w:rsidRPr="00167500" w:rsidRDefault="009610A5" w:rsidP="00167500">
      <w:pPr>
        <w:pStyle w:val="a"/>
        <w:spacing w:before="0" w:after="0"/>
        <w:ind w:firstLine="567"/>
        <w:jc w:val="both"/>
        <w:rPr>
          <w:szCs w:val="28"/>
        </w:rPr>
      </w:pPr>
      <w:r w:rsidRPr="00167500">
        <w:rPr>
          <w:szCs w:val="28"/>
        </w:rPr>
        <w:t xml:space="preserve">Предмет закупівлі: </w:t>
      </w:r>
    </w:p>
    <w:p w:rsidR="00014E1A" w:rsidRPr="00167500" w:rsidRDefault="00014E1A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>Рентгенологічне та радіологічне обладнання немедичного призначення – за кодом ДК 021:2015 – 38580000-4 (Скануючі системи мобільного типу з функцією портального сканування)</w:t>
      </w:r>
    </w:p>
    <w:p w:rsidR="00CB42A6" w:rsidRPr="00167500" w:rsidRDefault="00014E1A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>38582000-8 Пристрої для рентгенологічного контролю</w:t>
      </w:r>
    </w:p>
    <w:p w:rsidR="009610A5" w:rsidRPr="00167500" w:rsidRDefault="009610A5" w:rsidP="00167500">
      <w:pPr>
        <w:jc w:val="both"/>
        <w:rPr>
          <w:sz w:val="28"/>
          <w:szCs w:val="28"/>
        </w:rPr>
      </w:pPr>
    </w:p>
    <w:p w:rsidR="0006036D" w:rsidRPr="00167500" w:rsidRDefault="009610A5" w:rsidP="00167500">
      <w:pPr>
        <w:pStyle w:val="a"/>
        <w:spacing w:before="0" w:after="0"/>
        <w:ind w:firstLine="567"/>
        <w:jc w:val="both"/>
        <w:rPr>
          <w:szCs w:val="28"/>
        </w:rPr>
      </w:pPr>
      <w:r w:rsidRPr="00167500">
        <w:rPr>
          <w:szCs w:val="28"/>
        </w:rPr>
        <w:t>Обґру</w:t>
      </w:r>
      <w:r w:rsidR="0006036D" w:rsidRPr="00167500">
        <w:rPr>
          <w:szCs w:val="28"/>
        </w:rPr>
        <w:t>нтування доцільності закупівлі:</w:t>
      </w:r>
    </w:p>
    <w:p w:rsidR="00014E1A" w:rsidRPr="00167500" w:rsidRDefault="00014E1A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>Державна митна служба України з метою реалізації заходів із забезпечення міжнародних пунктів пропуску для автомобільного сполучення «Шегині – Медика» митного поста «Мостиська», «Рава-Руська» митного поста «Рава-Руська», «Краківець-Корчова» митного поста «Яворів» Львівської митниці та «Ягодин – Дорогуск» митного поста «Ягодин» Волинської митниці скануючими системами мобільного типу з функцією портального сканування в межах виконання Інвестиційного проекту з розбудови прикордонної дорожньої інфраструктури та облаштування пунктів пропуску за рахунок коштів передбачених в рамках реалізації Договору між Урядом України та Урядом Республіка Польща про надання кредиту на умовах пов’язаної допомоги від 09.09.2015 (Договір ратифіковано Законом України № 977-VIII від 03.02.2016) та постанови Кабінету Міністрів України «Деякі питання реалізації Договору між Урядом України та Урядом Республіки Польща про надання кредиту на умовах пов’язаної допомоги» від 14.02.2017 № 73 (зі змінами) за КПКВ 3506610 «Реалізація проекту з розбудови прикордонної дорожньої інфраструктури та облаштування пунктів пропуску», прагне закупити скануючі системи мобільного типу з функцією портального сканування для моніторингу транспортних засобів, вантажів та контейнерів, що переміщуються через державний кордон. Ці системи мають бути повністю оснащені всіма необхідними функціональними компонентами.</w:t>
      </w:r>
    </w:p>
    <w:p w:rsidR="0006036D" w:rsidRPr="00167500" w:rsidRDefault="0006036D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 xml:space="preserve">Цільовим призначенням скануючих систем </w:t>
      </w:r>
      <w:r w:rsidR="00014E1A" w:rsidRPr="00167500">
        <w:rPr>
          <w:sz w:val="28"/>
          <w:szCs w:val="28"/>
        </w:rPr>
        <w:t xml:space="preserve">мобільного типу з функцією портального сканування </w:t>
      </w:r>
      <w:r w:rsidRPr="00167500">
        <w:rPr>
          <w:sz w:val="28"/>
          <w:szCs w:val="28"/>
        </w:rPr>
        <w:t xml:space="preserve">є забезпечення безпеки шляхом проведення неінтрузивного рентгенівського сканування </w:t>
      </w:r>
      <w:r w:rsidR="00014E1A" w:rsidRPr="00167500">
        <w:rPr>
          <w:sz w:val="28"/>
          <w:szCs w:val="28"/>
        </w:rPr>
        <w:t>транспортних засобів, вантажів та контейнерів</w:t>
      </w:r>
      <w:r w:rsidRPr="00167500">
        <w:rPr>
          <w:sz w:val="28"/>
          <w:szCs w:val="28"/>
        </w:rPr>
        <w:t xml:space="preserve">. Основними завданнями системи є перевірка відповідності вмісту </w:t>
      </w:r>
      <w:r w:rsidR="00014E1A" w:rsidRPr="00167500">
        <w:rPr>
          <w:sz w:val="28"/>
          <w:szCs w:val="28"/>
        </w:rPr>
        <w:t>вантажів та контейнерів</w:t>
      </w:r>
      <w:r w:rsidRPr="00167500">
        <w:rPr>
          <w:sz w:val="28"/>
          <w:szCs w:val="28"/>
        </w:rPr>
        <w:t xml:space="preserve"> тому, що задекларовано в документах, та ефективне виявлення потенційних ризиків, пов’язаних із контрабандою, включаючи наркотичні засоби, зброю, вибухівку, нелегальних мігрантів та заборонені речовини.</w:t>
      </w:r>
    </w:p>
    <w:p w:rsidR="009610A5" w:rsidRPr="00167500" w:rsidRDefault="009610A5" w:rsidP="00167500">
      <w:pPr>
        <w:jc w:val="both"/>
        <w:rPr>
          <w:sz w:val="28"/>
          <w:szCs w:val="28"/>
        </w:rPr>
      </w:pPr>
    </w:p>
    <w:p w:rsidR="00FC4FAE" w:rsidRPr="00167500" w:rsidRDefault="009610A5" w:rsidP="00167500">
      <w:pPr>
        <w:pStyle w:val="a"/>
        <w:spacing w:before="0" w:after="0"/>
        <w:ind w:firstLine="567"/>
        <w:jc w:val="both"/>
        <w:rPr>
          <w:szCs w:val="28"/>
        </w:rPr>
      </w:pPr>
      <w:r w:rsidRPr="00167500">
        <w:rPr>
          <w:szCs w:val="28"/>
        </w:rPr>
        <w:t>Обґрунтування обсягів закупівлі</w:t>
      </w:r>
      <w:r w:rsidR="00FC4FAE" w:rsidRPr="00167500">
        <w:rPr>
          <w:szCs w:val="28"/>
        </w:rPr>
        <w:t>:</w:t>
      </w:r>
    </w:p>
    <w:p w:rsidR="00014E1A" w:rsidRPr="00167500" w:rsidRDefault="00014E1A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 xml:space="preserve">Кількість та місця встановлення в межах виконання Інвестиційного проекту з розбудови прикордонної дорожньої інфраструктури та облаштування пунктів пропуску за рахунок коштів передбачених в рамках реалізації Договору </w:t>
      </w:r>
      <w:r w:rsidRPr="00167500">
        <w:rPr>
          <w:sz w:val="28"/>
          <w:szCs w:val="28"/>
        </w:rPr>
        <w:lastRenderedPageBreak/>
        <w:t xml:space="preserve">між Урядом України та Урядом Республіка Польща про надання кредиту на умовах пов’язаної допомоги від 09.09.2015 скануючих систем </w:t>
      </w:r>
      <w:r w:rsidRPr="00167500">
        <w:rPr>
          <w:bCs/>
          <w:sz w:val="28"/>
          <w:szCs w:val="28"/>
        </w:rPr>
        <w:t>мобільного типу з функцією портального сканування</w:t>
      </w:r>
      <w:r w:rsidRPr="00167500">
        <w:rPr>
          <w:sz w:val="28"/>
          <w:szCs w:val="28"/>
        </w:rPr>
        <w:t xml:space="preserve"> були визначені в ході </w:t>
      </w:r>
      <w:r w:rsidR="00702FAF" w:rsidRPr="00167500">
        <w:rPr>
          <w:sz w:val="28"/>
          <w:szCs w:val="28"/>
        </w:rPr>
        <w:t>проведення засідань польсько-української експертної групи щодо реалізації Договору між Урядом Республіки Польща й Урядом України про надання кредиту на умовах пов’язаної допомоги.</w:t>
      </w:r>
    </w:p>
    <w:p w:rsidR="00702FAF" w:rsidRPr="00167500" w:rsidRDefault="00702FAF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 xml:space="preserve">Під час визначення кількості та місця встановлення скануючих систем </w:t>
      </w:r>
      <w:r w:rsidRPr="00167500">
        <w:rPr>
          <w:bCs/>
          <w:sz w:val="28"/>
          <w:szCs w:val="28"/>
        </w:rPr>
        <w:t>мобільного типу з функцією портального сканування</w:t>
      </w:r>
      <w:r w:rsidRPr="00167500">
        <w:rPr>
          <w:sz w:val="28"/>
          <w:szCs w:val="28"/>
        </w:rPr>
        <w:t xml:space="preserve"> було враховано позицію польської сторони стосовно облаштуванні мобільними системами у напрямку «виїзд з України» чотирьох пунктів пропуску на українсько-польському державному кордоні. Крім того польською стороною також було наголошено, що згідно з Договором про надання кредиту, закупівля сканерів для інших пунктів пропуску, окрім польсько-українських, не може бути профінансована за рахунок Договору про надання кредиту.</w:t>
      </w:r>
    </w:p>
    <w:p w:rsidR="00FC4FAE" w:rsidRPr="00167500" w:rsidRDefault="00FC4FAE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 xml:space="preserve">Враховуючи викладене, Держмитслужба планує закупівлю скануючих систем </w:t>
      </w:r>
      <w:r w:rsidR="00014E1A" w:rsidRPr="00167500">
        <w:rPr>
          <w:bCs/>
          <w:sz w:val="28"/>
          <w:szCs w:val="28"/>
        </w:rPr>
        <w:t xml:space="preserve">мобільного типу </w:t>
      </w:r>
      <w:bookmarkStart w:id="1" w:name="_Hlk126225019"/>
      <w:r w:rsidR="00014E1A" w:rsidRPr="00167500">
        <w:rPr>
          <w:bCs/>
          <w:sz w:val="28"/>
          <w:szCs w:val="28"/>
        </w:rPr>
        <w:t>з функцією портального сканування</w:t>
      </w:r>
      <w:bookmarkEnd w:id="1"/>
      <w:r w:rsidRPr="00167500">
        <w:rPr>
          <w:sz w:val="28"/>
          <w:szCs w:val="28"/>
        </w:rPr>
        <w:t xml:space="preserve"> для </w:t>
      </w:r>
      <w:r w:rsidR="00014E1A" w:rsidRPr="00167500">
        <w:rPr>
          <w:sz w:val="28"/>
          <w:szCs w:val="28"/>
        </w:rPr>
        <w:t>забезпечення міжнародних пунктів пропуску для автомобільного сполучення «Шегині – Медика» митного поста «Мостиська», «Рава-Руська» митного поста «Рава-Руська», «Краківець-Корчова» митного поста «Яворів» Львівської митниці та «Ягодин – Дорогуск» митного поста «Ягодин» Волинської митниці (4</w:t>
      </w:r>
      <w:r w:rsidR="00167500" w:rsidRPr="00167500">
        <w:rPr>
          <w:sz w:val="28"/>
          <w:szCs w:val="28"/>
        </w:rPr>
        <w:t> </w:t>
      </w:r>
      <w:r w:rsidRPr="00167500">
        <w:rPr>
          <w:sz w:val="28"/>
          <w:szCs w:val="28"/>
        </w:rPr>
        <w:t>комплекти).</w:t>
      </w:r>
    </w:p>
    <w:p w:rsidR="009610A5" w:rsidRPr="00167500" w:rsidRDefault="009610A5" w:rsidP="00167500">
      <w:pPr>
        <w:jc w:val="both"/>
        <w:rPr>
          <w:sz w:val="28"/>
          <w:szCs w:val="28"/>
        </w:rPr>
      </w:pPr>
    </w:p>
    <w:p w:rsidR="00FE647B" w:rsidRPr="00167500" w:rsidRDefault="009610A5" w:rsidP="00167500">
      <w:pPr>
        <w:pStyle w:val="a"/>
        <w:spacing w:before="0" w:after="0"/>
        <w:ind w:firstLine="567"/>
        <w:jc w:val="both"/>
        <w:rPr>
          <w:szCs w:val="28"/>
        </w:rPr>
      </w:pPr>
      <w:r w:rsidRPr="00167500">
        <w:rPr>
          <w:szCs w:val="28"/>
        </w:rPr>
        <w:t xml:space="preserve">Обґрунтування технічних та </w:t>
      </w:r>
      <w:r w:rsidR="00D82B1A" w:rsidRPr="00167500">
        <w:rPr>
          <w:szCs w:val="28"/>
        </w:rPr>
        <w:t>якісних характеристик закупівлі</w:t>
      </w:r>
      <w:r w:rsidR="00FE647B" w:rsidRPr="00167500">
        <w:rPr>
          <w:szCs w:val="28"/>
        </w:rPr>
        <w:t>:</w:t>
      </w:r>
    </w:p>
    <w:p w:rsidR="009610A5" w:rsidRPr="00167500" w:rsidRDefault="00FE647B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>Технічні та я</w:t>
      </w:r>
      <w:r w:rsidR="009610A5" w:rsidRPr="00167500">
        <w:rPr>
          <w:sz w:val="28"/>
          <w:szCs w:val="28"/>
        </w:rPr>
        <w:t xml:space="preserve">кісні характеристики визначено </w:t>
      </w:r>
      <w:r w:rsidR="00DD6E03" w:rsidRPr="00167500">
        <w:rPr>
          <w:sz w:val="28"/>
          <w:szCs w:val="28"/>
        </w:rPr>
        <w:t>з урахуванням</w:t>
      </w:r>
      <w:r w:rsidR="009610A5" w:rsidRPr="00167500">
        <w:rPr>
          <w:sz w:val="28"/>
          <w:szCs w:val="28"/>
        </w:rPr>
        <w:t xml:space="preserve"> </w:t>
      </w:r>
      <w:r w:rsidR="00DD6E03" w:rsidRPr="00167500">
        <w:rPr>
          <w:sz w:val="28"/>
          <w:szCs w:val="28"/>
        </w:rPr>
        <w:t xml:space="preserve">наказу Державної фіскальної служби України від 21.04.2017 № 287 Про затвердження Вимог до скануючих систем для здійснення митного контролю </w:t>
      </w:r>
      <w:r w:rsidR="009610A5" w:rsidRPr="00167500">
        <w:rPr>
          <w:sz w:val="28"/>
          <w:szCs w:val="28"/>
        </w:rPr>
        <w:t xml:space="preserve">та з урахуванням загальноприйнятих норм і стандартів для зазначеного предмета закупівлі, </w:t>
      </w:r>
      <w:r w:rsidRPr="00167500">
        <w:rPr>
          <w:sz w:val="28"/>
          <w:szCs w:val="28"/>
        </w:rPr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167500">
        <w:rPr>
          <w:sz w:val="28"/>
          <w:szCs w:val="28"/>
        </w:rPr>
        <w:t>.</w:t>
      </w:r>
    </w:p>
    <w:p w:rsidR="00FE647B" w:rsidRPr="00167500" w:rsidRDefault="00FE647B" w:rsidP="00167500">
      <w:pPr>
        <w:jc w:val="both"/>
        <w:rPr>
          <w:sz w:val="28"/>
          <w:szCs w:val="28"/>
        </w:rPr>
      </w:pPr>
    </w:p>
    <w:p w:rsidR="00993399" w:rsidRPr="00167500" w:rsidRDefault="009610A5" w:rsidP="00167500">
      <w:pPr>
        <w:pStyle w:val="a"/>
        <w:spacing w:before="0" w:after="0"/>
        <w:ind w:firstLine="567"/>
        <w:jc w:val="both"/>
        <w:rPr>
          <w:szCs w:val="28"/>
        </w:rPr>
      </w:pPr>
      <w:r w:rsidRPr="00167500">
        <w:rPr>
          <w:szCs w:val="28"/>
        </w:rPr>
        <w:t>Обґрунтування бюджетного призначення та/або очікуван</w:t>
      </w:r>
      <w:r w:rsidR="000425D8" w:rsidRPr="00167500">
        <w:rPr>
          <w:szCs w:val="28"/>
        </w:rPr>
        <w:t>ої вартості предмета закупівлі.</w:t>
      </w:r>
    </w:p>
    <w:p w:rsidR="00386A68" w:rsidRPr="00167500" w:rsidRDefault="00386A68" w:rsidP="00167500">
      <w:pPr>
        <w:ind w:firstLine="567"/>
        <w:jc w:val="both"/>
        <w:rPr>
          <w:sz w:val="28"/>
          <w:szCs w:val="28"/>
        </w:rPr>
      </w:pPr>
      <w:r w:rsidRPr="00167500">
        <w:rPr>
          <w:sz w:val="28"/>
          <w:szCs w:val="28"/>
        </w:rPr>
        <w:t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 та сільського господарства України від 18.02.2020 № 275 (зі змінами), на підставі відкритих даних та отриманих відповідей від потенційних компаній постачальників відповідного обладнання.</w:t>
      </w:r>
    </w:p>
    <w:sectPr w:rsidR="00386A68" w:rsidRPr="00167500" w:rsidSect="00FE647B">
      <w:headerReference w:type="default" r:id="rId7"/>
      <w:headerReference w:type="first" r:id="rId8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4C2" w:rsidRDefault="007354C2">
      <w:r>
        <w:separator/>
      </w:r>
    </w:p>
  </w:endnote>
  <w:endnote w:type="continuationSeparator" w:id="0">
    <w:p w:rsidR="007354C2" w:rsidRDefault="0073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4C2" w:rsidRDefault="007354C2">
      <w:r>
        <w:separator/>
      </w:r>
    </w:p>
  </w:footnote>
  <w:footnote w:type="continuationSeparator" w:id="0">
    <w:p w:rsidR="007354C2" w:rsidRDefault="0073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5B0E48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14E1A"/>
    <w:rsid w:val="000425D8"/>
    <w:rsid w:val="0006036D"/>
    <w:rsid w:val="00125FCD"/>
    <w:rsid w:val="00146162"/>
    <w:rsid w:val="00167500"/>
    <w:rsid w:val="001E34C3"/>
    <w:rsid w:val="00293DB8"/>
    <w:rsid w:val="002E2BC4"/>
    <w:rsid w:val="002F1698"/>
    <w:rsid w:val="002F3EB6"/>
    <w:rsid w:val="003319DA"/>
    <w:rsid w:val="00340822"/>
    <w:rsid w:val="00386A68"/>
    <w:rsid w:val="00412090"/>
    <w:rsid w:val="00496F3A"/>
    <w:rsid w:val="00566E21"/>
    <w:rsid w:val="005B0E48"/>
    <w:rsid w:val="00605369"/>
    <w:rsid w:val="00623566"/>
    <w:rsid w:val="00650922"/>
    <w:rsid w:val="006716A3"/>
    <w:rsid w:val="00695754"/>
    <w:rsid w:val="006B17CF"/>
    <w:rsid w:val="00702FAF"/>
    <w:rsid w:val="00724622"/>
    <w:rsid w:val="007354C2"/>
    <w:rsid w:val="00744A2A"/>
    <w:rsid w:val="008101A5"/>
    <w:rsid w:val="008416B6"/>
    <w:rsid w:val="00847E0C"/>
    <w:rsid w:val="008A3DC3"/>
    <w:rsid w:val="008D2D29"/>
    <w:rsid w:val="009610A5"/>
    <w:rsid w:val="009676BE"/>
    <w:rsid w:val="00993399"/>
    <w:rsid w:val="00A3492E"/>
    <w:rsid w:val="00A8155B"/>
    <w:rsid w:val="00AC2412"/>
    <w:rsid w:val="00AF1A59"/>
    <w:rsid w:val="00B25403"/>
    <w:rsid w:val="00C5358C"/>
    <w:rsid w:val="00CB42A6"/>
    <w:rsid w:val="00CB43C3"/>
    <w:rsid w:val="00CD76F5"/>
    <w:rsid w:val="00D024A2"/>
    <w:rsid w:val="00D82B1A"/>
    <w:rsid w:val="00DD46BB"/>
    <w:rsid w:val="00DD6E03"/>
    <w:rsid w:val="00E84CEC"/>
    <w:rsid w:val="00EF4785"/>
    <w:rsid w:val="00F55DE2"/>
    <w:rsid w:val="00F70EBD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D5FF"/>
  <w15:docId w15:val="{BA64B3B9-717C-4A05-B6B4-C3CC3C10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0"/>
    <w:rsid w:val="00702F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3193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2024-01-11T15:10:00Z</cp:lastPrinted>
  <dcterms:created xsi:type="dcterms:W3CDTF">2024-11-07T08:41:00Z</dcterms:created>
  <dcterms:modified xsi:type="dcterms:W3CDTF">2024-11-07T13:05:00Z</dcterms:modified>
</cp:coreProperties>
</file>