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3E33DE">
      <w:pPr>
        <w:contextualSpacing/>
        <w:rPr>
          <w:b/>
          <w:sz w:val="28"/>
          <w:szCs w:val="28"/>
        </w:rPr>
      </w:pPr>
    </w:p>
    <w:p w:rsidR="006E0648" w:rsidRPr="003F7B46" w:rsidRDefault="006E0648" w:rsidP="003F7B46">
      <w:pPr>
        <w:ind w:firstLine="567"/>
        <w:contextualSpacing/>
        <w:jc w:val="both"/>
        <w:rPr>
          <w:sz w:val="28"/>
          <w:szCs w:val="28"/>
          <w:lang w:val="ru-RU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</w:t>
      </w:r>
      <w:r w:rsidR="0018585C">
        <w:rPr>
          <w:b/>
          <w:sz w:val="28"/>
          <w:szCs w:val="28"/>
        </w:rPr>
        <w:t>ифікато</w:t>
      </w:r>
      <w:r w:rsidR="003E33DE">
        <w:rPr>
          <w:b/>
          <w:sz w:val="28"/>
          <w:szCs w:val="28"/>
        </w:rPr>
        <w:t>р</w:t>
      </w:r>
      <w:r w:rsidRPr="006E0648">
        <w:rPr>
          <w:b/>
          <w:sz w:val="28"/>
          <w:szCs w:val="28"/>
        </w:rPr>
        <w:t>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9D48EC" w:rsidRPr="003E33DE" w:rsidRDefault="007C2BD8" w:rsidP="003F7B46">
      <w:pPr>
        <w:pStyle w:val="1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</w:pPr>
      <w:r w:rsidRPr="003E33DE">
        <w:rPr>
          <w:rFonts w:eastAsia="Calibri"/>
          <w:b w:val="0"/>
          <w:color w:val="000000"/>
          <w:sz w:val="28"/>
          <w:szCs w:val="28"/>
        </w:rPr>
        <w:t>«</w:t>
      </w:r>
      <w:r w:rsidR="00CD2724" w:rsidRPr="00CD2724">
        <w:rPr>
          <w:rFonts w:eastAsia="Calibri"/>
          <w:b w:val="0"/>
          <w:color w:val="000000"/>
          <w:sz w:val="28"/>
          <w:szCs w:val="28"/>
        </w:rPr>
        <w:t>Послуги з експертної оцінки технічного стану колісного транспортного засобу</w:t>
      </w:r>
      <w:r w:rsidR="00107AEC" w:rsidRPr="003E33DE">
        <w:rPr>
          <w:rFonts w:eastAsia="Calibri"/>
          <w:b w:val="0"/>
          <w:color w:val="000000"/>
          <w:sz w:val="28"/>
          <w:szCs w:val="28"/>
        </w:rPr>
        <w:t>»</w:t>
      </w:r>
      <w:r w:rsidRPr="003E33DE">
        <w:rPr>
          <w:rFonts w:eastAsia="Calibri"/>
          <w:b w:val="0"/>
          <w:color w:val="000000"/>
          <w:sz w:val="28"/>
          <w:szCs w:val="28"/>
        </w:rPr>
        <w:t xml:space="preserve"> за кодом ДК </w:t>
      </w:r>
      <w:r w:rsidR="009306F0" w:rsidRPr="003E33DE">
        <w:rPr>
          <w:rFonts w:eastAsia="Dotum"/>
          <w:b w:val="0"/>
          <w:color w:val="000000"/>
          <w:sz w:val="28"/>
          <w:szCs w:val="28"/>
        </w:rPr>
        <w:t>021:2015 –</w:t>
      </w:r>
      <w:r w:rsidRPr="003E33DE">
        <w:rPr>
          <w:rFonts w:eastAsia="Calibri"/>
          <w:b w:val="0"/>
          <w:color w:val="000000"/>
          <w:sz w:val="28"/>
          <w:szCs w:val="28"/>
        </w:rPr>
        <w:t xml:space="preserve"> </w:t>
      </w:r>
      <w:r w:rsidR="00CD2724" w:rsidRPr="00CD2724">
        <w:rPr>
          <w:rFonts w:eastAsia="Calibri"/>
          <w:b w:val="0"/>
          <w:color w:val="000000"/>
          <w:sz w:val="28"/>
          <w:szCs w:val="28"/>
        </w:rPr>
        <w:t>71630000-3 Послуги з технічного огляду та випробовувань</w:t>
      </w:r>
    </w:p>
    <w:p w:rsidR="003E33DE" w:rsidRDefault="006E0648" w:rsidP="003F7B46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366F62" w:rsidRPr="00366F62">
        <w:t> </w:t>
      </w:r>
      <w:r w:rsidR="00CD2724" w:rsidRPr="00CD2724">
        <w:t>UA-2024-11-14-015647-a</w:t>
      </w:r>
    </w:p>
    <w:p w:rsidR="007C2BD8" w:rsidRPr="00040072" w:rsidRDefault="00A0247F" w:rsidP="003F7B46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045109" w:rsidRPr="00045109" w:rsidRDefault="00045109" w:rsidP="0004510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5941D2">
        <w:rPr>
          <w:rFonts w:eastAsia="Calibri"/>
          <w:b/>
          <w:lang w:eastAsia="en-US"/>
        </w:rPr>
        <w:t>ІНФОРМАЦІЯ ПРО НЕОБХІДНІ ТЕХНІЧНІ, ЯКІСНІ ТА КІЛЬКІСНІ ХАРАКТЕРИСТИКИ ПРЕДМЕТА ЗАКУПІВЛІ</w:t>
      </w:r>
    </w:p>
    <w:p w:rsidR="00CD2724" w:rsidRPr="00CD2724" w:rsidRDefault="00CD2724" w:rsidP="00CD2724">
      <w:pPr>
        <w:jc w:val="center"/>
        <w:rPr>
          <w:sz w:val="28"/>
          <w:szCs w:val="28"/>
        </w:rPr>
      </w:pPr>
      <w:r w:rsidRPr="00CD2724">
        <w:rPr>
          <w:sz w:val="28"/>
          <w:szCs w:val="28"/>
        </w:rPr>
        <w:t>Вартість Послуг та витратні матеріали</w:t>
      </w:r>
    </w:p>
    <w:p w:rsidR="00CD2724" w:rsidRPr="00CD2724" w:rsidRDefault="00CD2724" w:rsidP="00CD2724">
      <w:pPr>
        <w:pStyle w:val="af5"/>
        <w:ind w:firstLine="708"/>
        <w:jc w:val="both"/>
        <w:rPr>
          <w:sz w:val="28"/>
          <w:szCs w:val="28"/>
        </w:rPr>
      </w:pPr>
      <w:r w:rsidRPr="00CD2724">
        <w:rPr>
          <w:sz w:val="28"/>
          <w:szCs w:val="28"/>
        </w:rPr>
        <w:t xml:space="preserve">Послуги з  експертної оцінки технічного стану колісного транспортного засобу, його вузлів та агрегатів на наявність ознак дефектів експлуатаційного характеру, встановлення необхідності, технічної можливості, та  вартості проведення їх відновлювального ремонту з метою приведення їх технічного стану до вимог заводу </w:t>
      </w:r>
      <w:proofErr w:type="spellStart"/>
      <w:r w:rsidRPr="00CD2724">
        <w:rPr>
          <w:sz w:val="28"/>
          <w:szCs w:val="28"/>
        </w:rPr>
        <w:t>–виробника</w:t>
      </w:r>
      <w:proofErr w:type="spellEnd"/>
      <w:r w:rsidRPr="00CD2724">
        <w:rPr>
          <w:sz w:val="28"/>
          <w:szCs w:val="28"/>
        </w:rPr>
        <w:t xml:space="preserve"> та економічної доцільності проведення цих </w:t>
      </w:r>
      <w:bookmarkStart w:id="0" w:name="_GoBack"/>
      <w:r w:rsidRPr="00CD2724">
        <w:rPr>
          <w:sz w:val="28"/>
          <w:szCs w:val="28"/>
        </w:rPr>
        <w:t xml:space="preserve">заходів за кодом ДК 021:2015 – 71630000-3 «Послуги з технічного огляду та </w:t>
      </w:r>
      <w:bookmarkEnd w:id="0"/>
      <w:r w:rsidRPr="00CD2724">
        <w:rPr>
          <w:sz w:val="28"/>
          <w:szCs w:val="28"/>
        </w:rPr>
        <w:t xml:space="preserve">випробувань»: Автомобіль Mercedes-Benz E270, </w:t>
      </w:r>
      <w:proofErr w:type="spellStart"/>
      <w:r w:rsidRPr="00CD2724">
        <w:rPr>
          <w:sz w:val="28"/>
          <w:szCs w:val="28"/>
        </w:rPr>
        <w:t>vin</w:t>
      </w:r>
      <w:proofErr w:type="spellEnd"/>
      <w:r w:rsidRPr="00CD2724">
        <w:rPr>
          <w:sz w:val="28"/>
          <w:szCs w:val="28"/>
        </w:rPr>
        <w:t xml:space="preserve"> – WDB2100161B249384, 2000 </w:t>
      </w:r>
      <w:proofErr w:type="spellStart"/>
      <w:r w:rsidRPr="00CD2724">
        <w:rPr>
          <w:sz w:val="28"/>
          <w:szCs w:val="28"/>
        </w:rPr>
        <w:t>р.в</w:t>
      </w:r>
      <w:proofErr w:type="spellEnd"/>
      <w:r w:rsidRPr="00CD2724">
        <w:rPr>
          <w:sz w:val="28"/>
          <w:szCs w:val="28"/>
        </w:rPr>
        <w:t>., об’єм  двигуна 2686 см3, дизель в кількості 1 шт.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3078"/>
        <w:gridCol w:w="1078"/>
        <w:gridCol w:w="1331"/>
        <w:gridCol w:w="1331"/>
        <w:gridCol w:w="992"/>
        <w:gridCol w:w="1312"/>
      </w:tblGrid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№п/п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Назва послуг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Трудомісткість, </w:t>
            </w:r>
            <w:proofErr w:type="spellStart"/>
            <w:r w:rsidRPr="00206986">
              <w:rPr>
                <w:lang w:eastAsia="uk-UA"/>
              </w:rPr>
              <w:t>год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Вартість години, </w:t>
            </w:r>
            <w:proofErr w:type="spellStart"/>
            <w:r w:rsidRPr="00206986">
              <w:rPr>
                <w:lang w:eastAsia="uk-UA"/>
              </w:rPr>
              <w:t>грн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Вартість послуги, </w:t>
            </w:r>
            <w:proofErr w:type="spellStart"/>
            <w:r w:rsidRPr="00206986">
              <w:rPr>
                <w:lang w:eastAsia="uk-UA"/>
              </w:rPr>
              <w:t>грн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</w:t>
            </w:r>
            <w:r w:rsidRPr="00206986">
              <w:rPr>
                <w:lang w:eastAsia="uk-UA"/>
              </w:rPr>
              <w:t>ількість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Загальна вартість, </w:t>
            </w:r>
            <w:proofErr w:type="spellStart"/>
            <w:r w:rsidRPr="00206986">
              <w:rPr>
                <w:lang w:eastAsia="uk-UA"/>
              </w:rPr>
              <w:t>грн</w:t>
            </w:r>
            <w:proofErr w:type="spellEnd"/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Дослідження матеріалів наданих замовником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0,5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2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 xml:space="preserve">Ідентифікація об’єкта </w:t>
            </w:r>
            <w:r w:rsidRPr="00206986">
              <w:rPr>
                <w:lang w:eastAsia="uk-UA"/>
              </w:rPr>
              <w:lastRenderedPageBreak/>
              <w:t>відповідно до наданих матеріалів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lastRenderedPageBreak/>
              <w:t>0,2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lastRenderedPageBreak/>
              <w:t>3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Огляд ТЗ з встановленням технічного стану його вузлів та агрегатів, на наявність ознак необхідності проведення відновлювального ремонту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4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Встановлення ринкової вартості ТЗ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5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Розрахунок вартості митних платежів та відновлювального ремонту на усунення критичних дефектів експлуатаційного характеру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c>
          <w:tcPr>
            <w:tcW w:w="85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6</w:t>
            </w:r>
          </w:p>
        </w:tc>
        <w:tc>
          <w:tcPr>
            <w:tcW w:w="3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rPr>
                <w:lang w:eastAsia="uk-UA"/>
              </w:rPr>
            </w:pPr>
            <w:r w:rsidRPr="00206986">
              <w:rPr>
                <w:lang w:eastAsia="uk-UA"/>
              </w:rPr>
              <w:t>Оформлення результатів дослідження та підготовки Висновку у 2х примірниках</w:t>
            </w:r>
          </w:p>
        </w:tc>
        <w:tc>
          <w:tcPr>
            <w:tcW w:w="1078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  <w:tr w:rsidR="00CD2724" w:rsidRPr="00206986" w:rsidTr="00823B98">
        <w:trPr>
          <w:trHeight w:val="359"/>
        </w:trPr>
        <w:tc>
          <w:tcPr>
            <w:tcW w:w="6345" w:type="dxa"/>
            <w:gridSpan w:val="4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  <w:r w:rsidRPr="00206986">
              <w:rPr>
                <w:lang w:eastAsia="uk-UA"/>
              </w:rPr>
              <w:t>Загалом</w:t>
            </w:r>
          </w:p>
        </w:tc>
        <w:tc>
          <w:tcPr>
            <w:tcW w:w="1331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  <w:tc>
          <w:tcPr>
            <w:tcW w:w="1312" w:type="dxa"/>
            <w:shd w:val="clear" w:color="auto" w:fill="auto"/>
          </w:tcPr>
          <w:p w:rsidR="00CD2724" w:rsidRPr="00206986" w:rsidRDefault="00CD2724" w:rsidP="00823B98">
            <w:pPr>
              <w:tabs>
                <w:tab w:val="left" w:leader="underscore" w:pos="2434"/>
              </w:tabs>
              <w:spacing w:after="200" w:line="276" w:lineRule="auto"/>
              <w:jc w:val="center"/>
              <w:rPr>
                <w:lang w:eastAsia="uk-UA"/>
              </w:rPr>
            </w:pPr>
          </w:p>
        </w:tc>
      </w:tr>
    </w:tbl>
    <w:p w:rsidR="003E33DE" w:rsidRDefault="003E33DE" w:rsidP="00CD2724">
      <w:pPr>
        <w:contextualSpacing/>
        <w:jc w:val="both"/>
        <w:rPr>
          <w:b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A9415E" w:rsidRPr="003F7B46" w:rsidRDefault="007C2BD8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CD2724" w:rsidRPr="00CD2724">
        <w:rPr>
          <w:rFonts w:eastAsia="Calibri"/>
          <w:color w:val="000000"/>
          <w:sz w:val="28"/>
          <w:szCs w:val="28"/>
        </w:rPr>
        <w:t>Послуги з експертної оцінки технічного стану колісного транспортного засобу» за кодом ДК 021:2015 – 71630000-3 Послуги з технічного огляду та випробовувань</w:t>
      </w:r>
      <w:r w:rsidR="00CD2724">
        <w:rPr>
          <w:rFonts w:eastAsia="Calibri"/>
          <w:color w:val="000000"/>
          <w:sz w:val="28"/>
          <w:szCs w:val="28"/>
        </w:rPr>
        <w:t xml:space="preserve"> – відповідає </w:t>
      </w:r>
      <w:r w:rsidR="00D2380B" w:rsidRPr="00365422">
        <w:rPr>
          <w:sz w:val="28"/>
          <w:szCs w:val="28"/>
        </w:rPr>
        <w:t>розрахунку</w:t>
      </w:r>
      <w:r w:rsidR="00D2380B" w:rsidRPr="00CB5B84">
        <w:rPr>
          <w:sz w:val="28"/>
          <w:szCs w:val="28"/>
        </w:rPr>
        <w:t xml:space="preserve"> видатків до кошторису Сумської митниці на 202</w:t>
      </w:r>
      <w:r w:rsidR="009306F0" w:rsidRPr="00112792">
        <w:rPr>
          <w:sz w:val="28"/>
          <w:szCs w:val="28"/>
        </w:rPr>
        <w:t>4</w:t>
      </w:r>
      <w:r w:rsidR="00CD2724">
        <w:rPr>
          <w:sz w:val="28"/>
          <w:szCs w:val="28"/>
        </w:rPr>
        <w:t xml:space="preserve"> рік, загальний фонд</w:t>
      </w:r>
      <w:r w:rsidR="00D2380B" w:rsidRPr="00CB5B84">
        <w:rPr>
          <w:sz w:val="28"/>
          <w:szCs w:val="28"/>
        </w:rPr>
        <w:t xml:space="preserve"> за КПКВК 3506010 «Керівництво та управління у сфері митної політики».</w:t>
      </w:r>
    </w:p>
    <w:p w:rsidR="003E33DE" w:rsidRDefault="003E33DE" w:rsidP="003F7B46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Pr="003F7B46" w:rsidRDefault="00A0247F" w:rsidP="003F7B46">
      <w:pPr>
        <w:ind w:firstLine="567"/>
        <w:contextualSpacing/>
        <w:jc w:val="both"/>
        <w:rPr>
          <w:sz w:val="28"/>
          <w:szCs w:val="28"/>
          <w:lang w:val="ru-RU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CD2724">
        <w:rPr>
          <w:sz w:val="28"/>
          <w:szCs w:val="28"/>
          <w:lang w:val="ru-RU"/>
        </w:rPr>
        <w:t>4051</w:t>
      </w:r>
      <w:r w:rsidR="003E33DE">
        <w:rPr>
          <w:sz w:val="28"/>
          <w:szCs w:val="28"/>
          <w:lang w:val="ru-RU"/>
        </w:rPr>
        <w:t>,</w:t>
      </w:r>
      <w:r w:rsidR="00CD2724">
        <w:rPr>
          <w:sz w:val="28"/>
          <w:szCs w:val="28"/>
          <w:lang w:val="ru-RU"/>
        </w:rPr>
        <w:t xml:space="preserve">45 </w:t>
      </w:r>
      <w:r w:rsidR="007C2BD8" w:rsidRPr="007C2BD8">
        <w:rPr>
          <w:sz w:val="28"/>
          <w:szCs w:val="28"/>
        </w:rPr>
        <w:t>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3E33DE" w:rsidRDefault="003E33DE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366F62">
        <w:rPr>
          <w:sz w:val="28"/>
          <w:szCs w:val="28"/>
        </w:rPr>
        <w:t xml:space="preserve">послуги </w:t>
      </w:r>
      <w:r w:rsidR="005B6B5A" w:rsidRPr="005B6B5A">
        <w:rPr>
          <w:sz w:val="28"/>
          <w:szCs w:val="28"/>
        </w:rPr>
        <w:t>в мережі Інтернет</w:t>
      </w:r>
      <w:r w:rsidR="008D4B9B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66" w:rsidRDefault="00AF2E66">
      <w:r>
        <w:separator/>
      </w:r>
    </w:p>
  </w:endnote>
  <w:endnote w:type="continuationSeparator" w:id="0">
    <w:p w:rsidR="00AF2E66" w:rsidRDefault="00AF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66" w:rsidRDefault="00AF2E66">
      <w:r>
        <w:separator/>
      </w:r>
    </w:p>
  </w:footnote>
  <w:footnote w:type="continuationSeparator" w:id="0">
    <w:p w:rsidR="00AF2E66" w:rsidRDefault="00AF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072"/>
    <w:rsid w:val="000401FD"/>
    <w:rsid w:val="0004289F"/>
    <w:rsid w:val="00044DDD"/>
    <w:rsid w:val="00045109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D7EA6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279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0C3D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35626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5422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3DE"/>
    <w:rsid w:val="003E630D"/>
    <w:rsid w:val="003F2253"/>
    <w:rsid w:val="003F22DB"/>
    <w:rsid w:val="003F2314"/>
    <w:rsid w:val="003F49A1"/>
    <w:rsid w:val="003F71EC"/>
    <w:rsid w:val="003F7B46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601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1E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6F35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4B9B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06F0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25F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2E66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3E0F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2724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4831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5E50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944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aliases w:val="Обычный (Web)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paragraph" w:customStyle="1" w:styleId="Style9">
    <w:name w:val="Style9"/>
    <w:basedOn w:val="a1"/>
    <w:uiPriority w:val="99"/>
    <w:rsid w:val="00045109"/>
    <w:pPr>
      <w:widowControl w:val="0"/>
      <w:autoSpaceDE w:val="0"/>
      <w:autoSpaceDN w:val="0"/>
      <w:adjustRightInd w:val="0"/>
    </w:pPr>
    <w:rPr>
      <w:lang w:eastAsia="uk-UA"/>
    </w:rPr>
  </w:style>
  <w:style w:type="paragraph" w:customStyle="1" w:styleId="Style4">
    <w:name w:val="Style4"/>
    <w:basedOn w:val="a1"/>
    <w:uiPriority w:val="99"/>
    <w:rsid w:val="00045109"/>
    <w:pPr>
      <w:widowControl w:val="0"/>
      <w:autoSpaceDE w:val="0"/>
      <w:autoSpaceDN w:val="0"/>
      <w:adjustRightInd w:val="0"/>
      <w:spacing w:line="329" w:lineRule="exact"/>
      <w:ind w:firstLine="720"/>
      <w:jc w:val="both"/>
    </w:pPr>
    <w:rPr>
      <w:rFonts w:eastAsiaTheme="minorEastAsia"/>
      <w:lang w:eastAsia="uk-UA"/>
    </w:rPr>
  </w:style>
  <w:style w:type="character" w:customStyle="1" w:styleId="FontStyle19">
    <w:name w:val="Font Style19"/>
    <w:basedOn w:val="a2"/>
    <w:uiPriority w:val="99"/>
    <w:rsid w:val="00045109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aliases w:val="Обычный (Web)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paragraph" w:customStyle="1" w:styleId="Style9">
    <w:name w:val="Style9"/>
    <w:basedOn w:val="a1"/>
    <w:uiPriority w:val="99"/>
    <w:rsid w:val="00045109"/>
    <w:pPr>
      <w:widowControl w:val="0"/>
      <w:autoSpaceDE w:val="0"/>
      <w:autoSpaceDN w:val="0"/>
      <w:adjustRightInd w:val="0"/>
    </w:pPr>
    <w:rPr>
      <w:lang w:eastAsia="uk-UA"/>
    </w:rPr>
  </w:style>
  <w:style w:type="paragraph" w:customStyle="1" w:styleId="Style4">
    <w:name w:val="Style4"/>
    <w:basedOn w:val="a1"/>
    <w:uiPriority w:val="99"/>
    <w:rsid w:val="00045109"/>
    <w:pPr>
      <w:widowControl w:val="0"/>
      <w:autoSpaceDE w:val="0"/>
      <w:autoSpaceDN w:val="0"/>
      <w:adjustRightInd w:val="0"/>
      <w:spacing w:line="329" w:lineRule="exact"/>
      <w:ind w:firstLine="720"/>
      <w:jc w:val="both"/>
    </w:pPr>
    <w:rPr>
      <w:rFonts w:eastAsiaTheme="minorEastAsia"/>
      <w:lang w:eastAsia="uk-UA"/>
    </w:rPr>
  </w:style>
  <w:style w:type="character" w:customStyle="1" w:styleId="FontStyle19">
    <w:name w:val="Font Style19"/>
    <w:basedOn w:val="a2"/>
    <w:uiPriority w:val="99"/>
    <w:rsid w:val="00045109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2024-11-15T08:50:00Z</dcterms:modified>
</cp:coreProperties>
</file>