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8E" w:rsidRDefault="0003718E" w:rsidP="0003718E">
      <w:pPr>
        <w:rPr>
          <w:rFonts w:eastAsia="Times New Roman" w:cs="Times New Roman"/>
          <w:color w:val="000000"/>
          <w:sz w:val="24"/>
          <w:szCs w:val="24"/>
          <w:lang w:eastAsia="uk-UA"/>
        </w:rPr>
      </w:pPr>
    </w:p>
    <w:p w:rsidR="0003718E" w:rsidRDefault="0003718E" w:rsidP="0003718E">
      <w:pPr>
        <w:jc w:val="center"/>
        <w:rPr>
          <w:rFonts w:eastAsia="Times New Roman" w:cs="Times New Roman"/>
          <w:color w:val="000000"/>
          <w:sz w:val="24"/>
          <w:szCs w:val="24"/>
          <w:lang w:eastAsia="uk-UA"/>
        </w:rPr>
      </w:pPr>
      <w:r w:rsidRPr="000070DA">
        <w:rPr>
          <w:rFonts w:eastAsia="Times New Roman" w:cs="Times New Roman"/>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w:t>
      </w:r>
      <w:r>
        <w:rPr>
          <w:rFonts w:eastAsia="Times New Roman" w:cs="Times New Roman"/>
          <w:color w:val="000000"/>
          <w:sz w:val="24"/>
          <w:szCs w:val="24"/>
          <w:lang w:eastAsia="uk-UA"/>
        </w:rPr>
        <w:t xml:space="preserve"> </w:t>
      </w:r>
      <w:r w:rsidRPr="000070DA">
        <w:rPr>
          <w:rFonts w:eastAsia="Times New Roman" w:cs="Times New Roman"/>
          <w:color w:val="000000"/>
          <w:sz w:val="24"/>
          <w:szCs w:val="24"/>
          <w:lang w:eastAsia="uk-UA"/>
        </w:rPr>
        <w:t>ПРЕДМЕТА ЗАКУПІВЛІ</w:t>
      </w:r>
    </w:p>
    <w:p w:rsidR="00564C9C" w:rsidRPr="000070DA" w:rsidRDefault="00564C9C" w:rsidP="0003718E">
      <w:pPr>
        <w:jc w:val="center"/>
        <w:rPr>
          <w:rFonts w:eastAsia="Times New Roman" w:cs="Times New Roman"/>
          <w:sz w:val="24"/>
          <w:szCs w:val="24"/>
          <w:lang w:eastAsia="uk-UA"/>
        </w:rPr>
      </w:pPr>
      <w:r w:rsidRPr="00564C9C">
        <w:rPr>
          <w:rFonts w:eastAsia="Times New Roman" w:cs="Times New Roman"/>
          <w:sz w:val="24"/>
          <w:szCs w:val="24"/>
          <w:lang w:eastAsia="uk-UA"/>
        </w:rPr>
        <w:t>(оприлюднюється на виконання постанови КМУ № 710 від 11.10.2016 «Про ефективне використання державних коштів» (зі змінами))</w:t>
      </w:r>
    </w:p>
    <w:p w:rsidR="00564C9C" w:rsidRPr="00564C9C" w:rsidRDefault="00564C9C" w:rsidP="00564C9C">
      <w:pPr>
        <w:pBdr>
          <w:top w:val="nil"/>
          <w:left w:val="nil"/>
          <w:bottom w:val="nil"/>
          <w:right w:val="nil"/>
          <w:between w:val="nil"/>
        </w:pBdr>
        <w:jc w:val="center"/>
        <w:rPr>
          <w:rFonts w:eastAsia="Times New Roman" w:cs="Times New Roman"/>
          <w:color w:val="000000"/>
          <w:sz w:val="24"/>
          <w:szCs w:val="24"/>
          <w:lang w:eastAsia="uk-UA"/>
        </w:rPr>
      </w:pPr>
      <w:r w:rsidRPr="00564C9C">
        <w:rPr>
          <w:rFonts w:eastAsia="Times New Roman" w:cs="Times New Roman"/>
          <w:b/>
          <w:color w:val="000000"/>
          <w:sz w:val="24"/>
          <w:szCs w:val="24"/>
          <w:lang w:eastAsia="uk-UA"/>
        </w:rPr>
        <w:t>ОБҐРУНТУВАННЯ ПІДСТАВИ</w:t>
      </w:r>
    </w:p>
    <w:p w:rsidR="00564C9C" w:rsidRPr="00564C9C" w:rsidRDefault="00564C9C" w:rsidP="00564C9C">
      <w:pPr>
        <w:pBdr>
          <w:top w:val="nil"/>
          <w:left w:val="nil"/>
          <w:bottom w:val="nil"/>
          <w:right w:val="nil"/>
          <w:between w:val="nil"/>
        </w:pBdr>
        <w:jc w:val="center"/>
        <w:rPr>
          <w:rFonts w:eastAsia="Times New Roman" w:cs="Times New Roman"/>
          <w:color w:val="000000"/>
          <w:sz w:val="24"/>
          <w:szCs w:val="24"/>
          <w:lang w:eastAsia="uk-UA"/>
        </w:rPr>
      </w:pPr>
      <w:r w:rsidRPr="00564C9C">
        <w:rPr>
          <w:rFonts w:eastAsia="Times New Roman" w:cs="Times New Roman"/>
          <w:color w:val="000000"/>
          <w:sz w:val="24"/>
          <w:szCs w:val="24"/>
          <w:lang w:eastAsia="uk-UA"/>
        </w:rPr>
        <w:t xml:space="preserve">для здійснення закупівлі </w:t>
      </w:r>
      <w:r w:rsidRPr="00564C9C">
        <w:rPr>
          <w:rFonts w:eastAsia="Times New Roman" w:cs="Times New Roman"/>
          <w:b/>
          <w:color w:val="000000"/>
          <w:sz w:val="24"/>
          <w:szCs w:val="24"/>
          <w:lang w:eastAsia="uk-UA"/>
        </w:rPr>
        <w:t>згідно з підпунктом 5 пункту 13 Особливостей</w:t>
      </w:r>
      <w:r w:rsidRPr="00564C9C">
        <w:rPr>
          <w:rFonts w:eastAsia="Times New Roman" w:cs="Times New Roman"/>
          <w:color w:val="000000"/>
          <w:sz w:val="24"/>
          <w:szCs w:val="24"/>
          <w:lang w:eastAsia="uk-UA"/>
        </w:rPr>
        <w:t xml:space="preserve">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від 12.10.2022 № 1178 (далі — Особливості)</w:t>
      </w:r>
    </w:p>
    <w:p w:rsidR="00564C9C" w:rsidRPr="00564C9C" w:rsidRDefault="00564C9C" w:rsidP="00564C9C">
      <w:pPr>
        <w:rPr>
          <w:rFonts w:eastAsia="Times New Roman" w:cs="Times New Roman"/>
          <w:b/>
          <w:sz w:val="24"/>
          <w:szCs w:val="24"/>
          <w:lang w:eastAsia="uk-UA"/>
        </w:rPr>
      </w:pPr>
      <w:r w:rsidRPr="00564C9C">
        <w:rPr>
          <w:rFonts w:eastAsia="Times New Roman" w:cs="Times New Roman"/>
          <w:b/>
          <w:sz w:val="24"/>
          <w:szCs w:val="24"/>
          <w:lang w:eastAsia="uk-UA"/>
        </w:rPr>
        <w:t xml:space="preserve"> </w:t>
      </w:r>
    </w:p>
    <w:p w:rsidR="00564C9C" w:rsidRPr="00564C9C" w:rsidRDefault="00564C9C" w:rsidP="00564C9C">
      <w:pPr>
        <w:jc w:val="both"/>
        <w:rPr>
          <w:rFonts w:eastAsia="Times New Roman" w:cs="Times New Roman"/>
          <w:sz w:val="24"/>
          <w:szCs w:val="24"/>
          <w:lang w:eastAsia="uk-UA"/>
        </w:rPr>
      </w:pPr>
      <w:r w:rsidRPr="00564C9C">
        <w:rPr>
          <w:rFonts w:eastAsia="Times New Roman" w:cs="Times New Roman"/>
          <w:b/>
          <w:sz w:val="24"/>
          <w:szCs w:val="24"/>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564C9C">
        <w:rPr>
          <w:rFonts w:eastAsia="Times New Roman" w:cs="Times New Roman"/>
          <w:sz w:val="24"/>
          <w:szCs w:val="24"/>
          <w:lang w:eastAsia="uk-UA"/>
        </w:rPr>
        <w:t>Державна митна служба України; вул. Дегтярівська, 11-Г, м. Київ, 04119; код за ЄДРПОУ – 43115923; категорія замовника – орган державної  влади.</w:t>
      </w:r>
    </w:p>
    <w:p w:rsidR="00564C9C" w:rsidRPr="00564C9C" w:rsidRDefault="00564C9C" w:rsidP="00564C9C">
      <w:pPr>
        <w:jc w:val="both"/>
        <w:rPr>
          <w:rFonts w:eastAsia="Times New Roman" w:cs="Times New Roman"/>
          <w:b/>
          <w:sz w:val="24"/>
          <w:szCs w:val="24"/>
          <w:lang w:eastAsia="uk-UA"/>
        </w:rPr>
      </w:pPr>
    </w:p>
    <w:p w:rsidR="00564C9C" w:rsidRPr="00564C9C" w:rsidRDefault="00564C9C" w:rsidP="00564C9C">
      <w:pPr>
        <w:jc w:val="both"/>
        <w:rPr>
          <w:rFonts w:eastAsia="Times New Roman" w:cs="Times New Roman"/>
          <w:sz w:val="24"/>
          <w:szCs w:val="24"/>
          <w:lang w:eastAsia="uk-UA"/>
        </w:rPr>
      </w:pPr>
      <w:r w:rsidRPr="00564C9C">
        <w:rPr>
          <w:rFonts w:eastAsia="Times New Roman" w:cs="Times New Roman"/>
          <w:b/>
          <w:color w:val="000000"/>
          <w:sz w:val="24"/>
          <w:szCs w:val="24"/>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564C9C">
        <w:rPr>
          <w:rFonts w:eastAsia="Times New Roman" w:cs="Times New Roman"/>
          <w:sz w:val="24"/>
          <w:szCs w:val="24"/>
          <w:lang w:eastAsia="uk-UA"/>
        </w:rPr>
        <w:t xml:space="preserve"> </w:t>
      </w:r>
    </w:p>
    <w:p w:rsidR="00564C9C" w:rsidRDefault="001C71D5" w:rsidP="00564C9C">
      <w:pPr>
        <w:jc w:val="both"/>
        <w:rPr>
          <w:rFonts w:eastAsia="Calibri" w:cs="Times New Roman"/>
          <w:sz w:val="24"/>
          <w:szCs w:val="24"/>
          <w:lang w:eastAsia="uk-UA"/>
        </w:rPr>
      </w:pPr>
      <w:r w:rsidRPr="001C71D5">
        <w:rPr>
          <w:rFonts w:eastAsia="Calibri" w:cs="Times New Roman"/>
          <w:sz w:val="24"/>
          <w:szCs w:val="24"/>
          <w:lang w:eastAsia="uk-UA"/>
        </w:rPr>
        <w:t>Послуги телефонного зв’язку та передачі даних (місцевий зв’язок, міжміський зв’язок, міжнародний зв’язок та абонентна плата за користування телефонним апаратом), а також послуги, пов’язані технологічно з комунікаційними послугами, за кодом ДК 021:2015-64210000-1 Послуги телефонного зв’язку та передачі даних (Послуги телефонного зв’язку та передачі даних (місцевий зв’язок, міжміський зв’язок, міжнародний зв’язок та абонентна плата за користування телефонним апаратом), а також послуги, пов’язані технологічно з комунікаційними послугами, за кодом ДК 021:2015-64210000-1 Послуги телефонного зв’язку та передачі даних)</w:t>
      </w:r>
    </w:p>
    <w:p w:rsidR="001C71D5" w:rsidRPr="00564C9C" w:rsidRDefault="001C71D5" w:rsidP="00564C9C">
      <w:pPr>
        <w:jc w:val="both"/>
        <w:rPr>
          <w:rFonts w:eastAsia="Times New Roman" w:cs="Times New Roman"/>
          <w:b/>
          <w:sz w:val="24"/>
          <w:szCs w:val="24"/>
          <w:lang w:eastAsia="uk-UA"/>
        </w:rPr>
      </w:pPr>
    </w:p>
    <w:p w:rsidR="00564C9C" w:rsidRPr="00564C9C" w:rsidRDefault="00564C9C" w:rsidP="00564C9C">
      <w:pPr>
        <w:jc w:val="both"/>
        <w:rPr>
          <w:rFonts w:eastAsia="Times New Roman" w:cs="Times New Roman"/>
          <w:sz w:val="24"/>
          <w:szCs w:val="24"/>
          <w:lang w:val="en-US" w:eastAsia="uk-UA"/>
        </w:rPr>
      </w:pPr>
      <w:r w:rsidRPr="00564C9C">
        <w:rPr>
          <w:rFonts w:eastAsia="Times New Roman" w:cs="Times New Roman"/>
          <w:b/>
          <w:sz w:val="24"/>
          <w:szCs w:val="24"/>
          <w:lang w:eastAsia="uk-UA"/>
        </w:rPr>
        <w:t>Вид та ідентифікатор процедур закупівель (у разі наявності):</w:t>
      </w:r>
      <w:r w:rsidRPr="00564C9C">
        <w:rPr>
          <w:rFonts w:eastAsia="Times New Roman" w:cs="Times New Roman"/>
          <w:sz w:val="24"/>
          <w:szCs w:val="24"/>
          <w:lang w:eastAsia="uk-UA"/>
        </w:rPr>
        <w:t xml:space="preserve"> </w:t>
      </w:r>
      <w:r w:rsidRPr="00564C9C">
        <w:rPr>
          <w:rFonts w:eastAsia="Times New Roman" w:cs="Times New Roman"/>
          <w:sz w:val="24"/>
          <w:szCs w:val="24"/>
          <w:lang w:val="en-US" w:eastAsia="uk-UA"/>
        </w:rPr>
        <w:t>UA-2024-</w:t>
      </w:r>
      <w:r w:rsidR="001C71D5">
        <w:rPr>
          <w:rFonts w:eastAsia="Times New Roman" w:cs="Times New Roman"/>
          <w:sz w:val="24"/>
          <w:szCs w:val="24"/>
          <w:lang w:eastAsia="uk-UA"/>
        </w:rPr>
        <w:t>11</w:t>
      </w:r>
      <w:r w:rsidRPr="00564C9C">
        <w:rPr>
          <w:rFonts w:eastAsia="Times New Roman" w:cs="Times New Roman"/>
          <w:sz w:val="24"/>
          <w:szCs w:val="24"/>
          <w:lang w:val="en-US" w:eastAsia="uk-UA"/>
        </w:rPr>
        <w:t>-</w:t>
      </w:r>
      <w:r w:rsidR="001C71D5">
        <w:rPr>
          <w:rFonts w:eastAsia="Times New Roman" w:cs="Times New Roman"/>
          <w:sz w:val="24"/>
          <w:szCs w:val="24"/>
          <w:lang w:eastAsia="uk-UA"/>
        </w:rPr>
        <w:t>20</w:t>
      </w:r>
      <w:r w:rsidRPr="00564C9C">
        <w:rPr>
          <w:rFonts w:eastAsia="Times New Roman" w:cs="Times New Roman"/>
          <w:sz w:val="24"/>
          <w:szCs w:val="24"/>
          <w:lang w:val="en-US" w:eastAsia="uk-UA"/>
        </w:rPr>
        <w:t>-</w:t>
      </w:r>
      <w:r w:rsidR="001C71D5">
        <w:rPr>
          <w:rFonts w:eastAsia="Times New Roman" w:cs="Times New Roman"/>
          <w:sz w:val="24"/>
          <w:szCs w:val="24"/>
          <w:lang w:eastAsia="uk-UA"/>
        </w:rPr>
        <w:t>005156</w:t>
      </w:r>
      <w:r w:rsidRPr="00564C9C">
        <w:rPr>
          <w:rFonts w:eastAsia="Times New Roman" w:cs="Times New Roman"/>
          <w:sz w:val="24"/>
          <w:szCs w:val="24"/>
          <w:lang w:val="en-US" w:eastAsia="uk-UA"/>
        </w:rPr>
        <w:t>-a</w:t>
      </w:r>
    </w:p>
    <w:p w:rsidR="00564C9C" w:rsidRPr="00564C9C" w:rsidRDefault="00564C9C" w:rsidP="00564C9C">
      <w:pPr>
        <w:jc w:val="both"/>
        <w:rPr>
          <w:rFonts w:eastAsia="Times New Roman" w:cs="Times New Roman"/>
          <w:sz w:val="24"/>
          <w:szCs w:val="24"/>
          <w:lang w:eastAsia="uk-UA"/>
        </w:rPr>
      </w:pPr>
    </w:p>
    <w:p w:rsidR="00564C9C" w:rsidRPr="00564C9C" w:rsidRDefault="00564C9C" w:rsidP="00B96EF0">
      <w:pPr>
        <w:widowControl w:val="0"/>
        <w:tabs>
          <w:tab w:val="left" w:pos="426"/>
        </w:tabs>
        <w:suppressAutoHyphens/>
        <w:autoSpaceDN w:val="0"/>
        <w:jc w:val="both"/>
        <w:textAlignment w:val="baseline"/>
        <w:rPr>
          <w:rFonts w:eastAsia="Times New Roman" w:cs="Times New Roman"/>
          <w:sz w:val="24"/>
          <w:szCs w:val="24"/>
          <w:lang w:eastAsia="uk-UA"/>
        </w:rPr>
      </w:pPr>
      <w:r w:rsidRPr="00564C9C">
        <w:rPr>
          <w:rFonts w:eastAsia="Calibri" w:cs="Calibri"/>
          <w:szCs w:val="28"/>
          <w:lang w:eastAsia="ru-RU"/>
        </w:rPr>
        <w:t xml:space="preserve"> </w:t>
      </w:r>
      <w:bookmarkStart w:id="0" w:name="_GoBack"/>
      <w:bookmarkEnd w:id="0"/>
      <w:r w:rsidRPr="00564C9C">
        <w:rPr>
          <w:rFonts w:eastAsia="Times New Roman" w:cs="Times New Roman"/>
          <w:b/>
          <w:sz w:val="24"/>
          <w:szCs w:val="24"/>
          <w:lang w:eastAsia="uk-UA"/>
        </w:rPr>
        <w:t>Розмір бюджетного призначення:</w:t>
      </w:r>
      <w:r w:rsidRPr="00564C9C">
        <w:rPr>
          <w:rFonts w:eastAsia="Times New Roman" w:cs="Times New Roman"/>
          <w:sz w:val="24"/>
          <w:szCs w:val="24"/>
          <w:lang w:eastAsia="uk-UA"/>
        </w:rPr>
        <w:t xml:space="preserve"> </w:t>
      </w:r>
    </w:p>
    <w:p w:rsidR="00564C9C" w:rsidRPr="00564C9C" w:rsidRDefault="00564C9C" w:rsidP="00564C9C">
      <w:pPr>
        <w:ind w:firstLine="709"/>
        <w:jc w:val="both"/>
        <w:rPr>
          <w:rFonts w:eastAsia="Times New Roman" w:cs="Times New Roman"/>
          <w:sz w:val="24"/>
          <w:szCs w:val="24"/>
          <w:lang w:eastAsia="uk-UA"/>
        </w:rPr>
      </w:pPr>
      <w:r w:rsidRPr="00564C9C">
        <w:rPr>
          <w:rFonts w:eastAsia="Calibri" w:cs="Times New Roman"/>
          <w:sz w:val="24"/>
          <w:szCs w:val="24"/>
          <w:lang w:eastAsia="uk-UA"/>
        </w:rPr>
        <w:t xml:space="preserve"> </w:t>
      </w:r>
      <w:r w:rsidR="001C71D5" w:rsidRPr="001C71D5">
        <w:rPr>
          <w:rFonts w:eastAsia="Calibri" w:cs="Times New Roman"/>
          <w:sz w:val="24"/>
          <w:szCs w:val="24"/>
          <w:lang w:eastAsia="uk-UA"/>
        </w:rPr>
        <w:t>Послуги телефонного зв’язку та передачі даних (місцевий зв’язок, міжміський зв’язок, міжнародний зв’язок та абонентна плата за користування телефонним апаратом), а також послуги, пов’язані технологічно з комунікаційними послугами</w:t>
      </w:r>
      <w:r w:rsidR="001C71D5">
        <w:rPr>
          <w:rFonts w:eastAsia="Calibri" w:cs="Times New Roman"/>
          <w:sz w:val="24"/>
          <w:szCs w:val="24"/>
          <w:lang w:eastAsia="uk-UA"/>
        </w:rPr>
        <w:t xml:space="preserve"> </w:t>
      </w:r>
      <w:r w:rsidRPr="00564C9C">
        <w:rPr>
          <w:rFonts w:eastAsia="Calibri" w:cs="Times New Roman"/>
          <w:sz w:val="24"/>
          <w:szCs w:val="24"/>
          <w:lang w:eastAsia="uk-UA"/>
        </w:rPr>
        <w:t xml:space="preserve">складає </w:t>
      </w:r>
      <w:r w:rsidR="001C71D5">
        <w:rPr>
          <w:rFonts w:eastAsia="Calibri" w:cs="Times New Roman"/>
          <w:sz w:val="24"/>
          <w:szCs w:val="24"/>
          <w:lang w:eastAsia="uk-UA"/>
        </w:rPr>
        <w:t>670 000</w:t>
      </w:r>
      <w:r w:rsidRPr="00564C9C">
        <w:rPr>
          <w:rFonts w:eastAsia="Calibri" w:cs="Times New Roman"/>
          <w:sz w:val="24"/>
          <w:szCs w:val="24"/>
          <w:lang w:eastAsia="uk-UA"/>
        </w:rPr>
        <w:t xml:space="preserve">,00 гривень </w:t>
      </w:r>
      <w:r w:rsidRPr="00564C9C">
        <w:rPr>
          <w:rFonts w:eastAsia="Times New Roman" w:cs="Times New Roman"/>
          <w:sz w:val="24"/>
          <w:szCs w:val="24"/>
          <w:lang w:eastAsia="uk-UA"/>
        </w:rPr>
        <w:t>згідно з кошторисом розрахунків Держмитслужби на 2024 рік.</w:t>
      </w:r>
    </w:p>
    <w:p w:rsidR="00564C9C" w:rsidRPr="00564C9C" w:rsidRDefault="00564C9C" w:rsidP="00564C9C">
      <w:pPr>
        <w:spacing w:before="280" w:after="280"/>
        <w:jc w:val="both"/>
        <w:rPr>
          <w:rFonts w:eastAsia="Times New Roman" w:cs="Times New Roman"/>
          <w:i/>
          <w:sz w:val="24"/>
          <w:szCs w:val="24"/>
          <w:u w:val="single"/>
          <w:lang w:eastAsia="uk-UA"/>
        </w:rPr>
      </w:pPr>
      <w:r w:rsidRPr="00564C9C">
        <w:rPr>
          <w:rFonts w:eastAsia="Times New Roman" w:cs="Times New Roman"/>
          <w:b/>
          <w:sz w:val="24"/>
          <w:szCs w:val="24"/>
          <w:lang w:eastAsia="uk-UA"/>
        </w:rPr>
        <w:t xml:space="preserve">Підстави для здійснення закупівлі: </w:t>
      </w:r>
      <w:r w:rsidR="001C71D5" w:rsidRPr="001C71D5">
        <w:rPr>
          <w:rFonts w:eastAsia="Times New Roman" w:cs="Times New Roman"/>
          <w:i/>
          <w:sz w:val="24"/>
          <w:szCs w:val="24"/>
          <w:lang w:eastAsia="uk-UA"/>
        </w:rPr>
        <w:t>відповідно до підпункту 5 пункту 13 Особливостей роботи, товари чи послуги можуть бути виконані, поставлені чи надані виключно певним суб’єктом господарювання  у випадку відсутності конкуренції з технічних причин, яка повинна бути документально підтверджена замовником</w:t>
      </w:r>
      <w:r w:rsidR="001C71D5">
        <w:rPr>
          <w:rFonts w:eastAsia="Times New Roman" w:cs="Times New Roman"/>
          <w:i/>
          <w:sz w:val="24"/>
          <w:szCs w:val="24"/>
          <w:lang w:eastAsia="uk-UA"/>
        </w:rPr>
        <w:t>.</w:t>
      </w:r>
    </w:p>
    <w:p w:rsidR="00564C9C" w:rsidRPr="00564C9C" w:rsidRDefault="00564C9C" w:rsidP="00564C9C">
      <w:pPr>
        <w:tabs>
          <w:tab w:val="left" w:pos="284"/>
        </w:tabs>
        <w:spacing w:before="240" w:line="276" w:lineRule="auto"/>
        <w:jc w:val="both"/>
        <w:rPr>
          <w:rFonts w:eastAsia="Times New Roman" w:cs="Times New Roman"/>
          <w:i/>
          <w:color w:val="000000"/>
          <w:sz w:val="24"/>
          <w:szCs w:val="24"/>
          <w:lang w:eastAsia="uk-UA"/>
        </w:rPr>
      </w:pPr>
      <w:r w:rsidRPr="00564C9C">
        <w:rPr>
          <w:rFonts w:eastAsia="Times New Roman" w:cs="Times New Roman"/>
          <w:b/>
          <w:sz w:val="24"/>
          <w:szCs w:val="24"/>
          <w:lang w:eastAsia="uk-UA"/>
        </w:rPr>
        <w:t>Обґрунтування підстави для здійснення закупівлі</w:t>
      </w:r>
      <w:r w:rsidRPr="00564C9C">
        <w:rPr>
          <w:rFonts w:eastAsia="Times New Roman" w:cs="Times New Roman"/>
          <w:b/>
          <w:color w:val="000000"/>
          <w:sz w:val="24"/>
          <w:szCs w:val="24"/>
          <w:lang w:eastAsia="uk-UA"/>
        </w:rPr>
        <w:t>:</w:t>
      </w:r>
      <w:r w:rsidRPr="00564C9C">
        <w:rPr>
          <w:rFonts w:eastAsia="Times New Roman" w:cs="Times New Roman"/>
          <w:i/>
          <w:color w:val="000000"/>
          <w:sz w:val="24"/>
          <w:szCs w:val="24"/>
          <w:lang w:eastAsia="uk-UA"/>
        </w:rPr>
        <w:t xml:space="preserve"> </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t>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обов’язковим зазначенням строку дії цих обмежень.</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t xml:space="preserve">Указом Президента України від 24.02.2022 № 64 (зі змінами) термін дії воєнного стану встановлено до </w:t>
      </w:r>
      <w:r w:rsidR="001C71D5">
        <w:rPr>
          <w:rFonts w:eastAsia="Calibri" w:cs="Times New Roman"/>
          <w:sz w:val="24"/>
          <w:szCs w:val="26"/>
          <w:lang w:eastAsia="ru-RU"/>
        </w:rPr>
        <w:t>08</w:t>
      </w:r>
      <w:r w:rsidRPr="00564C9C">
        <w:rPr>
          <w:rFonts w:eastAsia="Calibri" w:cs="Times New Roman"/>
          <w:sz w:val="24"/>
          <w:szCs w:val="26"/>
          <w:lang w:eastAsia="ru-RU"/>
        </w:rPr>
        <w:t xml:space="preserve"> </w:t>
      </w:r>
      <w:r w:rsidR="001C71D5">
        <w:rPr>
          <w:rFonts w:eastAsia="Calibri" w:cs="Times New Roman"/>
          <w:sz w:val="24"/>
          <w:szCs w:val="26"/>
          <w:lang w:eastAsia="ru-RU"/>
        </w:rPr>
        <w:t>лютого 2025</w:t>
      </w:r>
      <w:r w:rsidRPr="00564C9C">
        <w:rPr>
          <w:rFonts w:eastAsia="Calibri" w:cs="Times New Roman"/>
          <w:sz w:val="24"/>
          <w:szCs w:val="26"/>
          <w:lang w:eastAsia="ru-RU"/>
        </w:rPr>
        <w:t xml:space="preserve"> року.</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t>Статтею 4 Указу № 64 Кабінету Міністрів України постановлено невідкладно:</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t>1) ввести в дію план запровадження та забезпечення заходів правового режиму воєнного стану в Україні;</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t>2) забезпечити фінансування та вжити в межах повноважень інших заходів, пов’язаних із запровадженням правового режиму воєнного стану на території України.</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t xml:space="preserve">Стаття 12¹ Закону України «Про правовий режим воєнного стану» передбачає, що Кабінет Міністрів України в разі введення воєнного стану в Україні або окремих її </w:t>
      </w:r>
      <w:r w:rsidRPr="00564C9C">
        <w:rPr>
          <w:rFonts w:eastAsia="Calibri" w:cs="Times New Roman"/>
          <w:sz w:val="24"/>
          <w:szCs w:val="26"/>
          <w:lang w:eastAsia="ru-RU"/>
        </w:rPr>
        <w:lastRenderedPageBreak/>
        <w:t>місцевостях:</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t>1) працює відповідно до Регламенту Кабінету Міністрів України в умовах воєнного стану;</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t>2)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 яка склалася.</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t>Згідно з сьомим абзацом пункту 5 частини 1 статті 20 Закону України від 27.02.2014 № 794 «Про Кабінет Міністрів України» Кабінет Міністрів України здійснює керівництво єдиною системою цивільного захисту України, мобілізаційною підготовкою національної економіки та переведенням її на режим роботи в умовах надзвичайного чи воєнного стану.</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t xml:space="preserve">З метою невідкладного забезпечення заходів правового режиму воєнного стану, до яких у тому числі входить здійснення публічних закупівель, частиною 37 розділу Х «Прикінцеві та перехідні положення» Закону встановлено, що на період дії правового режиму воєнного стану в Україні та протягом 90 днів з дня його припинення або скасування особливості здійснення закупівель товарів, робіт і послуг для замовників, передбачених цим Законом, визначаються Кабінетом Міністрів України із забезпеченням захищеності таких замовників від воєнних загроз. </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t>На виконання цієї норми Закону урядом були прийняті Особливості.</w:t>
      </w:r>
    </w:p>
    <w:p w:rsidR="00564C9C" w:rsidRPr="00564C9C" w:rsidRDefault="00564C9C" w:rsidP="00564C9C">
      <w:pPr>
        <w:spacing w:before="280" w:after="280"/>
        <w:ind w:firstLine="426"/>
        <w:jc w:val="both"/>
        <w:rPr>
          <w:rFonts w:eastAsia="Times New Roman" w:cs="Times New Roman"/>
          <w:i/>
          <w:sz w:val="24"/>
          <w:szCs w:val="24"/>
          <w:u w:val="single"/>
          <w:lang w:eastAsia="uk-UA"/>
        </w:rPr>
      </w:pPr>
      <w:r w:rsidRPr="00564C9C">
        <w:rPr>
          <w:rFonts w:eastAsia="Calibri" w:cs="Times New Roman"/>
          <w:sz w:val="24"/>
          <w:szCs w:val="24"/>
          <w:lang w:eastAsia="ru-RU"/>
        </w:rPr>
        <w:t>Положеннями Особливостей передбачено підставу для здійснення закупівлі підпунктом 5 пункту 13: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без застосування відкритих торгів та/або електронного каталогу для закупівлі послуг у разі:</w:t>
      </w:r>
      <w:r w:rsidRPr="00564C9C">
        <w:rPr>
          <w:rFonts w:eastAsia="Times New Roman" w:cs="Times New Roman"/>
          <w:sz w:val="24"/>
          <w:szCs w:val="24"/>
          <w:lang w:eastAsia="uk-UA"/>
        </w:rPr>
        <w:t xml:space="preserve"> відповідно до абзацу чотири підпункту 5 пункту 13 Особливостей</w:t>
      </w:r>
      <w:r w:rsidRPr="00564C9C">
        <w:rPr>
          <w:rFonts w:eastAsia="Calibri" w:cs="Times New Roman"/>
          <w:sz w:val="24"/>
          <w:szCs w:val="24"/>
          <w:lang w:eastAsia="ru-RU"/>
        </w:rPr>
        <w:t xml:space="preserve"> коли роботи, товари чи послуги можуть бути виконані, поставлені чи надані виключно певним суб’єктом господарювання </w:t>
      </w:r>
      <w:r w:rsidRPr="00564C9C">
        <w:rPr>
          <w:rFonts w:eastAsia="Calibri" w:cs="Times New Roman"/>
          <w:sz w:val="24"/>
          <w:szCs w:val="24"/>
          <w:u w:val="single"/>
          <w:lang w:eastAsia="ru-RU"/>
        </w:rPr>
        <w:t xml:space="preserve">у випадку відсутності конкуренції з технічних причин, яка повинна бути документально підтверджена </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Акціонерне товариство «Укртелеком» має багаторічний досвід обслуговування провідних державних та комерційних компаній України – бюджетних установ та організацій, органів управління, банків, страхових компаній, представників іноземних держав, промислово-торгових груп та  бізнес-центрів.</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Відповідно до ст.74 Закону України «Про електронні комунікації» від 16 грудня 2020 року № 1089-IX (далі  - Закон), первинний розподіл ресурсу нумерації здійснюється регуляторним органом на дозвільній основі з урахуванням вимог національного плану нумерації та цього Закону. Ресурс нумерації розподіляється суб'єктам господарювання, внесеним до реєстру постачальників електронних комунікаційних мереж та послуга також іншим особам відповідно до цього Закону (користувач ресурсу нумерації) строком на п'ять років (якщо менший строк не зазначений заявником), а в разі його використання для надання послуг міжособистісних електронних комунікацій з використанням радіочастот - строком, не меншим ніж строк дії відповідної ліцензії на користування радіочастотним спектром (якщо менший строк не зазначений заявником).</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Згідно ч. 5 ст. 74 Закону, користувач ресурсу нумерації здійснює вторинний розподіл ресурсу нумерації кінцевим користувачам електронних комунікаційних послуг.</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У відповідності до п. 6 розділу ХІХ «Прикінцеві та перехідні положення» Закону, дозволи на використання номерного ресурсу, що є чинними на день набрання чинності цим Законом, продовжують діяти як дозволи на користування ресурсом нумерації. Продовження строку дії таких дозволів здійснюється відповідно до цього Закону.</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Акціонерному товариству «Укртелеком», виділено у користування номерний ресурс  на підставі Рішення  НКРЗІ № 625 від 24.12.2019 р. «Про переоформлення дозволів на використання номерного ресурсу місцевих телефонних мереж ПАТ «Укртелеком», про що видано дозвіл на використання цього номерного ресурсу терміном дії до 02.04.2026 р. При цьому, повідомляємо, що АТ «Укртелеком», не передавав та не надавав в користування свої права щодо зазначеної  нумерації користувачам послуг або іншим постачальникам електронних комунікаційних мереж та/або послуг.</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Наведена вище інформація офіційно підтверджена на сайті Національної комісії, що </w:t>
      </w:r>
      <w:r w:rsidRPr="001C71D5">
        <w:rPr>
          <w:rFonts w:eastAsia="Calibri" w:cs="Times New Roman"/>
          <w:sz w:val="24"/>
          <w:szCs w:val="26"/>
          <w:lang w:eastAsia="ru-RU"/>
        </w:rPr>
        <w:lastRenderedPageBreak/>
        <w:t>здійснює державне регулювання у сферах електронних комунікацій, радіочастотного спектра та надання послуг поштового зв’язку, та доступна за посиланням: https://nkrzi.gov.ua/index.php?r=site/index&amp;pg=212&amp;language=uk (Розподілені типи ресурсів нумерації, п. 11. Номери місцевих телефонних мереж фіксованого зв’язку (по всіх зонах нумерації/областях із зазначенням індексів, обсягів виділеного ресурсу та території використання у розрізі адміністративних районів, міст).</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Для забезпечення Державної митної служби України надійним фіксованим (міським та міжміським телефонним) зв’язком використовуються послуги AT «Укртелеком», якими користується понад 700 працівників. Надання послуг здійснюється в безперервному режимі.</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АТ «Укртелеком» забезпечує  підрозділи Державної митної служби України надійним телефонним зв’язком з 2011 року та надає такі електроні комунікаційні послуги: послуги місцевого та міжміського телефонного зв’язку; послуги цифрової телефонії (ISDN PRI); надання в користування міських телефонних номерів; надання в користування телефонів АТС-10 спеціального державного зв’язку; надання в користування ліній безпосереднього зв’язку; надання в користування місця в каналах кабельної каналізації електрозв'язку.</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На поточний час АТ «Укртелеком»  надає Державній митній службі України міські телефонні номери, які організовано за допомогою аналогових, цифрових та </w:t>
      </w:r>
      <w:proofErr w:type="spellStart"/>
      <w:r w:rsidRPr="001C71D5">
        <w:rPr>
          <w:rFonts w:eastAsia="Calibri" w:cs="Times New Roman"/>
          <w:sz w:val="24"/>
          <w:szCs w:val="26"/>
          <w:lang w:eastAsia="ru-RU"/>
        </w:rPr>
        <w:t>волоконно</w:t>
      </w:r>
      <w:proofErr w:type="spellEnd"/>
      <w:r w:rsidRPr="001C71D5">
        <w:rPr>
          <w:rFonts w:eastAsia="Calibri" w:cs="Times New Roman"/>
          <w:sz w:val="24"/>
          <w:szCs w:val="26"/>
          <w:lang w:eastAsia="ru-RU"/>
        </w:rPr>
        <w:t xml:space="preserve">-оптичних ліній зв’язку у м. Києві, а саме: прямі міські номери подаються в приміщення </w:t>
      </w:r>
      <w:proofErr w:type="spellStart"/>
      <w:r w:rsidRPr="001C71D5">
        <w:rPr>
          <w:rFonts w:eastAsia="Calibri" w:cs="Times New Roman"/>
          <w:sz w:val="24"/>
          <w:szCs w:val="26"/>
          <w:lang w:eastAsia="ru-RU"/>
        </w:rPr>
        <w:t>адмінбудинків</w:t>
      </w:r>
      <w:proofErr w:type="spellEnd"/>
      <w:r w:rsidRPr="001C71D5">
        <w:rPr>
          <w:rFonts w:eastAsia="Calibri" w:cs="Times New Roman"/>
          <w:sz w:val="24"/>
          <w:szCs w:val="26"/>
          <w:lang w:eastAsia="ru-RU"/>
        </w:rPr>
        <w:t xml:space="preserve"> митної служби на вул. Дегтярівську, 11Г; міські телефонні номерів (послуги цифрової телефонії ISDN PRI) по оптоволоконним лініям подаються безпосередньо на відомчу АТС Державної митної служби України.</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Крім того, АТ «Укртелеком» надає для використання  Державній митній службі У номери АТС-10 – оперативний телефонний зв’язок АТС-10, який використовуються керівним складом урядових органів і надаються у користування за дозволом Кабінету Міністрів України. АТ «Укртелеком» є єдиним оператором, який надає послуги оперативного телефонного зв’язку АТС-10.</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АТ «Укртелеком» надає повний спектр електронних комунікаційних послуг на всій території України. Має власну територіально розгалужену комунікаційну мережу, </w:t>
      </w:r>
      <w:proofErr w:type="spellStart"/>
      <w:r w:rsidRPr="001C71D5">
        <w:rPr>
          <w:rFonts w:eastAsia="Calibri" w:cs="Times New Roman"/>
          <w:sz w:val="24"/>
          <w:szCs w:val="26"/>
          <w:lang w:eastAsia="ru-RU"/>
        </w:rPr>
        <w:t>сервісно</w:t>
      </w:r>
      <w:proofErr w:type="spellEnd"/>
      <w:r w:rsidRPr="001C71D5">
        <w:rPr>
          <w:rFonts w:eastAsia="Calibri" w:cs="Times New Roman"/>
          <w:sz w:val="24"/>
          <w:szCs w:val="26"/>
          <w:lang w:eastAsia="ru-RU"/>
        </w:rPr>
        <w:t>-технічну інфраструктуру, забезпечує повний спектр електронних комунікаційних послуг місцевого, міжміського, міжнародного зв’язку, можливість термінового реагування та виїзду сервісних інженерів для ліквідації позаштатних ситуацій. Лінійно-кабельні споруди, телекомунікаційне обладнання знаходяться на балансі АТ «Укртелеком».</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АТ «Укртелеком» є національним оператором фіксованого зв’язку, який відкрито і добросовісно володіє кабельною каналізацією електрозв’язку (надалі – ККЕ) з моменту її створення (ККЕ будувалась починаючи з 60-х років минулого століття), та з часу створення фактично володіє нею і здійснює всі права та обов’язки власника щодо неї: несе витрати в ході експлуатації (здійснює технічне обслуговування, ремонт, встановлення люків та іншого обладнання, здійснює її охорону, ліквідує аварії кабелів електрозв’язку та кабельних муфт, регулює та несе юридичну відповідальність за доступ до ККЕ третіх осіб), здійснює її розбудову, та укладає договори з третіми особами про надання доступу до неї.</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Статтею 21 Закону України “Про власність” № 697-ХІІ від 07.02.1991 року (у редакції, що діяла на момент корпоратизації (створення) ВАТ “Укртелеком”) передбачено, що право колективної власності виникає на підставі перетворення державних підприємств в акціонерні та інші товариства.</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Відповідно до ч.2 ст.33 Закону України “Про власність” від 07.02.1991р. (у редакції, яка діяла на момент корпоратизації (створення) ВАТ “Укртелеком”), державні органи, уповноважені управляти державним майном, вирішують питання створення підприємств і визначення цілей їх діяльності, реорганізації і ліквідації, здійснюють контроль за ефективністю використання і схоронністю довіреного їм державного майна та інші правомочності відповідно до законодавчих актів України.</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Статтею 12 Закону України “Про господарські товариства” визначено, що товариство є власником майна, переданого йому засновниками і учасниками у власність.</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Відповідно до Указу Президенту України № 210/93 від 15.06.1993 року “Про корпоратизацію підприємств”, ВАТ “Укртелеком” було засноване згідно з наказом Держкомзв’язку від 27.12.1999 №155 шляхом корпоратизації (перетворення) Українського державного підприємства електрозв’язку «Укртелеком» у Відкрите акціонерне товариство «Укртелеком». </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lastRenderedPageBreak/>
        <w:t xml:space="preserve">Наказом Держкомзв’язку від 23.12.1999 №150 «Про затвердження акту оцінки вартості цілісного майнового комплексу УДПЕЗ «Укртелеком» та відповідних матеріалів інвентаризації, все майно, у </w:t>
      </w:r>
      <w:proofErr w:type="spellStart"/>
      <w:r w:rsidRPr="001C71D5">
        <w:rPr>
          <w:rFonts w:eastAsia="Calibri" w:cs="Times New Roman"/>
          <w:sz w:val="24"/>
          <w:szCs w:val="26"/>
          <w:lang w:eastAsia="ru-RU"/>
        </w:rPr>
        <w:t>т.ч</w:t>
      </w:r>
      <w:proofErr w:type="spellEnd"/>
      <w:r w:rsidRPr="001C71D5">
        <w:rPr>
          <w:rFonts w:eastAsia="Calibri" w:cs="Times New Roman"/>
          <w:sz w:val="24"/>
          <w:szCs w:val="26"/>
          <w:lang w:eastAsia="ru-RU"/>
        </w:rPr>
        <w:t xml:space="preserve">. ККЕ, телекомунікаційні колодязі, підземні магістралі тощо, які перебували на балансі УДПЕЗ «Укртелеком» на момент утворення ВАТ «Укртелеком», було передано у колективну власність останнього шляхом внесення до статутного фонду товариства. </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Відповідно до п. 15 “Положення про порядок корпоратизації підприємств”, затвердженого Постановою КМУ № 508 від 05.07.1993р., з моменту державної реєстрації відкритого акціонерного товариства активи та пасиви підприємств, структурного підрозділу (одиниці) переходять до відкритого акціонерного товариства. Акціонерне товариство є правонаступником прав та обов’язків корпоратизованого підприємства.</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Таким чином, при створенні ВАТ “Укртелеком” шляхом корпоратизації засновником - Державним комітетом зв’язку та інформатизації України, у колективну власність акціонерного товариства Укртелеком були передані ККЕ та телефонні мережі разом з іншою державною власністю, що знаходилась на балансі УДПЕЗ “Укртелеком”. </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АТ «Укртелеком» як власник (володілець) кабельної каналізації електрозв’язку у питаннях надання в користування ККЕ керується рішенням Національної комісії що здійснює державне регулювання у сфері зв'язку та інформатизації (на сьогодні Національна комісія, що здійснює державне регулювання у сферах електронних комунікацій, радіочастотного спектра та надання послуг поштового зв’язку, постанова  від 06.09.2023  № 342 "Про затвердження Положення про кабельну каналізацію електронних комунікаційних мереж» (надалі - Положення).</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Це Положення встановлює: правила надання і отримання доступу до ККЕ; правила надання в користування ККЕ.</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Положення поширюється на діяльність операторів електронних комунікацій, які є володільцями ККЕ, та постачальників електронних комунікаційних мереж та/або послуг, які використовують ККЕ для власних потреб або для надання електронних комунікаційних послуг.</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В Положенні наведене визначення «постачальник» - оператор електронних комунікацій, який є володільцем ККЕ та може надавати послуги доступу та/або послуги користування ККЕ що знаходяться у його володінні.</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 Доступи на договірних умовах надаються в користування ККЕ замовникам для власних потреб або для надання телекомунікаційних послуг. </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Згідно Положення користування ККЕ- послуга постачальника з надання замовнику у користування місця у каналі ККЕ для розміщення прокладеного кабелю електронних комунікацій замовника на договірних умовах.</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АТ Укртелеком як власник (володілець) ККЕ надає замовнику у користування місця у каналі ККЕ на договірних умовах на певний строк згідно з виданими технічними умовами та за тарифами, що регулюються постановою НКРЗІ від 27 грудня 2023 року № 498 «Про затвердження Граничних тарифів на надання в користування кабельної каналізації електронних комунікаційних мереж» зареєстрованою в Міністерстві юстиції України 12 січня 2024 р. за № 71/41416.</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Отже, відповідно до наведених вище вимог чинного законодавства України, розміщення кабелів замовників у ККЕ можливе лише за наявності укладеного чинного договору з власником (володільцем) ККЕ, а також за наявності чинних технічних умов. При цьому, як монтаж, так і демонтаж кабелів замовників проводиться під наглядом відповідального працівника АТ «Укртелеком» шляхом замовлення послуги технічного нагляду за прокладанням чи демонтажем кабелю.</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Зазначені вище вимоги законодавства покликані забезпечити надання якісних та безпечних послуг з використання ККЕ для всіх замовників такої послуги. В той же час наявність у ККЕ кабелів без належних правових підстав, здійснення третіми особами самостійного монтажу та демонтажу становить безумовну загрозу як для майна самого Укртелекому, так і для кабелів інших замовників. Окрім того, в ККЕ АТ Укртелеком знаходяться кабелі </w:t>
      </w:r>
      <w:proofErr w:type="spellStart"/>
      <w:r w:rsidRPr="001C71D5">
        <w:rPr>
          <w:rFonts w:eastAsia="Calibri" w:cs="Times New Roman"/>
          <w:sz w:val="24"/>
          <w:szCs w:val="26"/>
          <w:lang w:eastAsia="ru-RU"/>
        </w:rPr>
        <w:t>спецспоживачів</w:t>
      </w:r>
      <w:proofErr w:type="spellEnd"/>
      <w:r w:rsidRPr="001C71D5">
        <w:rPr>
          <w:rFonts w:eastAsia="Calibri" w:cs="Times New Roman"/>
          <w:sz w:val="24"/>
          <w:szCs w:val="26"/>
          <w:lang w:eastAsia="ru-RU"/>
        </w:rPr>
        <w:t>, пошкодження/зміщення яких безумовно становить загрозу безпеці та обороноздатності держави Україна в цілому.</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Слід зазначити, що Державна митна служба України використовує місце в каналах кабельної каналізації електрозв'язку АТ «Укртелеком» для організації каналів передачі даних </w:t>
      </w:r>
      <w:r w:rsidRPr="001C71D5">
        <w:rPr>
          <w:rFonts w:eastAsia="Calibri" w:cs="Times New Roman"/>
          <w:sz w:val="24"/>
          <w:szCs w:val="26"/>
          <w:lang w:eastAsia="ru-RU"/>
        </w:rPr>
        <w:lastRenderedPageBreak/>
        <w:t xml:space="preserve">між Основним та Резервним Центром обробки даних. По вказаних вище каналах кабельної каналізації, двома незалежними маршрутами, прокладено власні </w:t>
      </w:r>
      <w:proofErr w:type="spellStart"/>
      <w:r w:rsidRPr="001C71D5">
        <w:rPr>
          <w:rFonts w:eastAsia="Calibri" w:cs="Times New Roman"/>
          <w:sz w:val="24"/>
          <w:szCs w:val="26"/>
          <w:lang w:eastAsia="ru-RU"/>
        </w:rPr>
        <w:t>волоконно</w:t>
      </w:r>
      <w:proofErr w:type="spellEnd"/>
      <w:r w:rsidRPr="001C71D5">
        <w:rPr>
          <w:rFonts w:eastAsia="Calibri" w:cs="Times New Roman"/>
          <w:sz w:val="24"/>
          <w:szCs w:val="26"/>
          <w:lang w:eastAsia="ru-RU"/>
        </w:rPr>
        <w:t xml:space="preserve">-оптичні лінії зв’язку між </w:t>
      </w:r>
      <w:proofErr w:type="spellStart"/>
      <w:r w:rsidRPr="001C71D5">
        <w:rPr>
          <w:rFonts w:eastAsia="Calibri" w:cs="Times New Roman"/>
          <w:sz w:val="24"/>
          <w:szCs w:val="26"/>
          <w:lang w:eastAsia="ru-RU"/>
        </w:rPr>
        <w:t>адмінбудинками</w:t>
      </w:r>
      <w:proofErr w:type="spellEnd"/>
      <w:r w:rsidRPr="001C71D5">
        <w:rPr>
          <w:rFonts w:eastAsia="Calibri" w:cs="Times New Roman"/>
          <w:sz w:val="24"/>
          <w:szCs w:val="26"/>
          <w:lang w:eastAsia="ru-RU"/>
        </w:rPr>
        <w:t xml:space="preserve"> у м. Київ за адресами </w:t>
      </w:r>
      <w:proofErr w:type="spellStart"/>
      <w:r w:rsidRPr="001C71D5">
        <w:rPr>
          <w:rFonts w:eastAsia="Calibri" w:cs="Times New Roman"/>
          <w:sz w:val="24"/>
          <w:szCs w:val="26"/>
          <w:lang w:eastAsia="ru-RU"/>
        </w:rPr>
        <w:t>бул</w:t>
      </w:r>
      <w:proofErr w:type="spellEnd"/>
      <w:r w:rsidRPr="001C71D5">
        <w:rPr>
          <w:rFonts w:eastAsia="Calibri" w:cs="Times New Roman"/>
          <w:sz w:val="24"/>
          <w:szCs w:val="26"/>
          <w:lang w:eastAsia="ru-RU"/>
        </w:rPr>
        <w:t>. В. Гавела 8-А – вул. Дегтярівська, 11 –Г.</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Крім того, у разі зміни існуючого оператора виникнуть проблеми технічного характеру, пов’язані з експлуатацією та обслуговуванням каналів зв’язку і, як наслідок, виникне потреба заміни або придбання (оновлення) додаткового обладнання комутації потоків, що в свою чергу, потребуватиме значних витрат та значне збільшення часу на відновлення в разі порушення зв’язку (відсутність єдиної служби технічної підтримки), що негативно впливатиме на функціонування існуючої телекомунікаційної системи.</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Враховуючи зазначене, з метою дотримання принципу ефективності закупівлі, якнайшвидшого забезпечення наявної потреби Замовника в умовах воєнного стану замовник прийняв рішення щодо здійснення Закупівель без застосування відкритих торгів та/або електронного каталогу для закупівлі послуг та застосування під час здійснення Закупівель, як виняток, підстави за підпунктом 5 пункту 13 Особливостей: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без застосування відкритих торгів та/або електронного каталогу для закупівлі послуг у разі, коли роботи, товари чи послуги можуть бути виконані, поставлені чи надані виключно певним суб’єктом господарювання у випадку відсутності конкуренції з технічних причин, яка повинна бути документально підтверджена замовником. Послуги можуть бути надані виключно певним суб’єктом господарювання, а саме АТ «Укртелеком». </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За результатами Закупівель, здійснених відповідно до цього пункту, замовники оприлюднюють в електронній системі закупівель звіт про договір про закупівлю, укладений без використання електронної системи закупівель, відповідно до пункту 38 розділу Х «Прикінцеві та перехідні положення» Закону.</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З огляду на викладене, рішення Замовника про проведення Закупівель відповідає чинному законодавству.</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Перелік документів, якими підтверджується наявність підстави для застосування виключення за Особливостями (документальне підтвердження):</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1.</w:t>
      </w:r>
      <w:r w:rsidRPr="001C71D5">
        <w:rPr>
          <w:rFonts w:eastAsia="Calibri" w:cs="Times New Roman"/>
          <w:sz w:val="24"/>
          <w:szCs w:val="26"/>
          <w:lang w:eastAsia="ru-RU"/>
        </w:rPr>
        <w:tab/>
        <w:t xml:space="preserve">Довідка УКРТЕЛЕКОМ № 314-ВИХ-80С911-80С911.02-2024 від 25 липня 2024р.; </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2.</w:t>
      </w:r>
      <w:r w:rsidRPr="001C71D5">
        <w:rPr>
          <w:rFonts w:eastAsia="Calibri" w:cs="Times New Roman"/>
          <w:sz w:val="24"/>
          <w:szCs w:val="26"/>
          <w:lang w:eastAsia="ru-RU"/>
        </w:rPr>
        <w:tab/>
        <w:t>Закон України «Про електронні комунікації» від 16 грудня 2020 року №1089-ІХ;</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3.</w:t>
      </w:r>
      <w:r w:rsidRPr="001C71D5">
        <w:rPr>
          <w:rFonts w:eastAsia="Calibri" w:cs="Times New Roman"/>
          <w:sz w:val="24"/>
          <w:szCs w:val="26"/>
          <w:lang w:eastAsia="ru-RU"/>
        </w:rPr>
        <w:tab/>
        <w:t>Рішення НКРЗІ № 625 від 24.12.2019 р. «Про переоформлення дозволів на використання номерного ресурсу місцевих телефонних мереж ПАТ «Укртелеком».</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p>
    <w:p w:rsidR="0003718E" w:rsidRPr="00F62C35" w:rsidRDefault="0003718E" w:rsidP="00051C87">
      <w:pPr>
        <w:pStyle w:val="a3"/>
        <w:tabs>
          <w:tab w:val="left" w:pos="993"/>
          <w:tab w:val="left" w:pos="9639"/>
        </w:tabs>
        <w:ind w:left="0" w:firstLine="567"/>
        <w:jc w:val="both"/>
        <w:rPr>
          <w:rFonts w:cs="Times New Roman"/>
          <w:sz w:val="24"/>
          <w:szCs w:val="24"/>
        </w:rPr>
      </w:pPr>
    </w:p>
    <w:sectPr w:rsidR="0003718E" w:rsidRPr="00F62C35" w:rsidSect="00F62C35">
      <w:pgSz w:w="11906" w:h="16838"/>
      <w:pgMar w:top="426"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633A05"/>
    <w:multiLevelType w:val="hybridMultilevel"/>
    <w:tmpl w:val="0E10D1C8"/>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179FE"/>
    <w:multiLevelType w:val="hybridMultilevel"/>
    <w:tmpl w:val="6C8CA20A"/>
    <w:lvl w:ilvl="0" w:tplc="011E36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46E49"/>
    <w:multiLevelType w:val="hybridMultilevel"/>
    <w:tmpl w:val="8DD8FAC4"/>
    <w:lvl w:ilvl="0" w:tplc="BA60A694">
      <w:start w:val="1"/>
      <w:numFmt w:val="decimal"/>
      <w:lvlText w:val="%1."/>
      <w:lvlJc w:val="left"/>
      <w:pPr>
        <w:ind w:left="821" w:hanging="284"/>
      </w:pPr>
      <w:rPr>
        <w:b w:val="0"/>
        <w:bCs w:val="0"/>
        <w:i w:val="0"/>
        <w:iCs w:val="0"/>
        <w:spacing w:val="0"/>
        <w:w w:val="100"/>
        <w:sz w:val="24"/>
        <w:szCs w:val="24"/>
        <w:lang w:val="uk-UA" w:eastAsia="en-US" w:bidi="ar-SA"/>
      </w:rPr>
    </w:lvl>
    <w:lvl w:ilvl="1" w:tplc="CAA4A3B0">
      <w:numFmt w:val="bullet"/>
      <w:lvlText w:val="-"/>
      <w:lvlJc w:val="left"/>
      <w:pPr>
        <w:ind w:left="821" w:hanging="208"/>
      </w:pPr>
      <w:rPr>
        <w:rFonts w:ascii="Times New Roman" w:eastAsia="Times New Roman" w:hAnsi="Times New Roman" w:cs="Times New Roman" w:hint="default"/>
        <w:b w:val="0"/>
        <w:bCs w:val="0"/>
        <w:i w:val="0"/>
        <w:iCs w:val="0"/>
        <w:spacing w:val="0"/>
        <w:w w:val="100"/>
        <w:sz w:val="26"/>
        <w:szCs w:val="26"/>
        <w:lang w:val="uk-UA" w:eastAsia="en-US" w:bidi="ar-SA"/>
      </w:rPr>
    </w:lvl>
    <w:lvl w:ilvl="2" w:tplc="1E76D5DE">
      <w:numFmt w:val="bullet"/>
      <w:lvlText w:val="•"/>
      <w:lvlJc w:val="left"/>
      <w:pPr>
        <w:ind w:left="2713" w:hanging="208"/>
      </w:pPr>
      <w:rPr>
        <w:rFonts w:hint="default"/>
        <w:lang w:val="uk-UA" w:eastAsia="en-US" w:bidi="ar-SA"/>
      </w:rPr>
    </w:lvl>
    <w:lvl w:ilvl="3" w:tplc="523A159A">
      <w:numFmt w:val="bullet"/>
      <w:lvlText w:val="•"/>
      <w:lvlJc w:val="left"/>
      <w:pPr>
        <w:ind w:left="3659" w:hanging="208"/>
      </w:pPr>
      <w:rPr>
        <w:rFonts w:hint="default"/>
        <w:lang w:val="uk-UA" w:eastAsia="en-US" w:bidi="ar-SA"/>
      </w:rPr>
    </w:lvl>
    <w:lvl w:ilvl="4" w:tplc="2EEEF000">
      <w:numFmt w:val="bullet"/>
      <w:lvlText w:val="•"/>
      <w:lvlJc w:val="left"/>
      <w:pPr>
        <w:ind w:left="4606" w:hanging="208"/>
      </w:pPr>
      <w:rPr>
        <w:rFonts w:hint="default"/>
        <w:lang w:val="uk-UA" w:eastAsia="en-US" w:bidi="ar-SA"/>
      </w:rPr>
    </w:lvl>
    <w:lvl w:ilvl="5" w:tplc="F06053AA">
      <w:numFmt w:val="bullet"/>
      <w:lvlText w:val="•"/>
      <w:lvlJc w:val="left"/>
      <w:pPr>
        <w:ind w:left="5553" w:hanging="208"/>
      </w:pPr>
      <w:rPr>
        <w:rFonts w:hint="default"/>
        <w:lang w:val="uk-UA" w:eastAsia="en-US" w:bidi="ar-SA"/>
      </w:rPr>
    </w:lvl>
    <w:lvl w:ilvl="6" w:tplc="35068D4E">
      <w:numFmt w:val="bullet"/>
      <w:lvlText w:val="•"/>
      <w:lvlJc w:val="left"/>
      <w:pPr>
        <w:ind w:left="6499" w:hanging="208"/>
      </w:pPr>
      <w:rPr>
        <w:rFonts w:hint="default"/>
        <w:lang w:val="uk-UA" w:eastAsia="en-US" w:bidi="ar-SA"/>
      </w:rPr>
    </w:lvl>
    <w:lvl w:ilvl="7" w:tplc="4E4E8868">
      <w:numFmt w:val="bullet"/>
      <w:lvlText w:val="•"/>
      <w:lvlJc w:val="left"/>
      <w:pPr>
        <w:ind w:left="7446" w:hanging="208"/>
      </w:pPr>
      <w:rPr>
        <w:rFonts w:hint="default"/>
        <w:lang w:val="uk-UA" w:eastAsia="en-US" w:bidi="ar-SA"/>
      </w:rPr>
    </w:lvl>
    <w:lvl w:ilvl="8" w:tplc="7988F380">
      <w:numFmt w:val="bullet"/>
      <w:lvlText w:val="•"/>
      <w:lvlJc w:val="left"/>
      <w:pPr>
        <w:ind w:left="8392" w:hanging="208"/>
      </w:pPr>
      <w:rPr>
        <w:rFonts w:hint="default"/>
        <w:lang w:val="uk-UA" w:eastAsia="en-US" w:bidi="ar-SA"/>
      </w:rPr>
    </w:lvl>
  </w:abstractNum>
  <w:abstractNum w:abstractNumId="4"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5" w15:restartNumberingAfterBreak="0">
    <w:nsid w:val="1AB70790"/>
    <w:multiLevelType w:val="hybridMultilevel"/>
    <w:tmpl w:val="ABC05358"/>
    <w:lvl w:ilvl="0" w:tplc="0744FA82">
      <w:start w:val="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050DF"/>
    <w:multiLevelType w:val="hybridMultilevel"/>
    <w:tmpl w:val="E89891A8"/>
    <w:lvl w:ilvl="0" w:tplc="D8B6609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DF51FF"/>
    <w:multiLevelType w:val="hybridMultilevel"/>
    <w:tmpl w:val="6306739A"/>
    <w:lvl w:ilvl="0" w:tplc="75B2A00C">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BB213AB"/>
    <w:multiLevelType w:val="hybridMultilevel"/>
    <w:tmpl w:val="469E8168"/>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E327216"/>
    <w:multiLevelType w:val="hybridMultilevel"/>
    <w:tmpl w:val="02D0403C"/>
    <w:lvl w:ilvl="0" w:tplc="B676616E">
      <w:numFmt w:val="bullet"/>
      <w:lvlText w:val="•"/>
      <w:lvlJc w:val="left"/>
      <w:pPr>
        <w:ind w:left="821" w:hanging="187"/>
      </w:pPr>
      <w:rPr>
        <w:rFonts w:ascii="Times New Roman" w:eastAsia="Times New Roman" w:hAnsi="Times New Roman" w:cs="Times New Roman" w:hint="default"/>
        <w:b w:val="0"/>
        <w:bCs w:val="0"/>
        <w:i w:val="0"/>
        <w:iCs w:val="0"/>
        <w:spacing w:val="0"/>
        <w:w w:val="100"/>
        <w:sz w:val="28"/>
        <w:szCs w:val="28"/>
        <w:lang w:val="uk-UA" w:eastAsia="en-US" w:bidi="ar-SA"/>
      </w:rPr>
    </w:lvl>
    <w:lvl w:ilvl="1" w:tplc="4968A7DA">
      <w:numFmt w:val="bullet"/>
      <w:lvlText w:val="•"/>
      <w:lvlJc w:val="left"/>
      <w:pPr>
        <w:ind w:left="1766" w:hanging="187"/>
      </w:pPr>
      <w:rPr>
        <w:rFonts w:hint="default"/>
        <w:lang w:val="uk-UA" w:eastAsia="en-US" w:bidi="ar-SA"/>
      </w:rPr>
    </w:lvl>
    <w:lvl w:ilvl="2" w:tplc="08B2F3C4">
      <w:numFmt w:val="bullet"/>
      <w:lvlText w:val="•"/>
      <w:lvlJc w:val="left"/>
      <w:pPr>
        <w:ind w:left="2713" w:hanging="187"/>
      </w:pPr>
      <w:rPr>
        <w:rFonts w:hint="default"/>
        <w:lang w:val="uk-UA" w:eastAsia="en-US" w:bidi="ar-SA"/>
      </w:rPr>
    </w:lvl>
    <w:lvl w:ilvl="3" w:tplc="65C8190C">
      <w:numFmt w:val="bullet"/>
      <w:lvlText w:val="•"/>
      <w:lvlJc w:val="left"/>
      <w:pPr>
        <w:ind w:left="3659" w:hanging="187"/>
      </w:pPr>
      <w:rPr>
        <w:rFonts w:hint="default"/>
        <w:lang w:val="uk-UA" w:eastAsia="en-US" w:bidi="ar-SA"/>
      </w:rPr>
    </w:lvl>
    <w:lvl w:ilvl="4" w:tplc="5966F34A">
      <w:numFmt w:val="bullet"/>
      <w:lvlText w:val="•"/>
      <w:lvlJc w:val="left"/>
      <w:pPr>
        <w:ind w:left="4606" w:hanging="187"/>
      </w:pPr>
      <w:rPr>
        <w:rFonts w:hint="default"/>
        <w:lang w:val="uk-UA" w:eastAsia="en-US" w:bidi="ar-SA"/>
      </w:rPr>
    </w:lvl>
    <w:lvl w:ilvl="5" w:tplc="EB34C470">
      <w:numFmt w:val="bullet"/>
      <w:lvlText w:val="•"/>
      <w:lvlJc w:val="left"/>
      <w:pPr>
        <w:ind w:left="5553" w:hanging="187"/>
      </w:pPr>
      <w:rPr>
        <w:rFonts w:hint="default"/>
        <w:lang w:val="uk-UA" w:eastAsia="en-US" w:bidi="ar-SA"/>
      </w:rPr>
    </w:lvl>
    <w:lvl w:ilvl="6" w:tplc="B6789EA4">
      <w:numFmt w:val="bullet"/>
      <w:lvlText w:val="•"/>
      <w:lvlJc w:val="left"/>
      <w:pPr>
        <w:ind w:left="6499" w:hanging="187"/>
      </w:pPr>
      <w:rPr>
        <w:rFonts w:hint="default"/>
        <w:lang w:val="uk-UA" w:eastAsia="en-US" w:bidi="ar-SA"/>
      </w:rPr>
    </w:lvl>
    <w:lvl w:ilvl="7" w:tplc="8AA685CA">
      <w:numFmt w:val="bullet"/>
      <w:lvlText w:val="•"/>
      <w:lvlJc w:val="left"/>
      <w:pPr>
        <w:ind w:left="7446" w:hanging="187"/>
      </w:pPr>
      <w:rPr>
        <w:rFonts w:hint="default"/>
        <w:lang w:val="uk-UA" w:eastAsia="en-US" w:bidi="ar-SA"/>
      </w:rPr>
    </w:lvl>
    <w:lvl w:ilvl="8" w:tplc="235E53C8">
      <w:numFmt w:val="bullet"/>
      <w:lvlText w:val="•"/>
      <w:lvlJc w:val="left"/>
      <w:pPr>
        <w:ind w:left="8392" w:hanging="187"/>
      </w:pPr>
      <w:rPr>
        <w:rFonts w:hint="default"/>
        <w:lang w:val="uk-UA" w:eastAsia="en-US" w:bidi="ar-SA"/>
      </w:rPr>
    </w:lvl>
  </w:abstractNum>
  <w:abstractNum w:abstractNumId="10" w15:restartNumberingAfterBreak="0">
    <w:nsid w:val="32D85334"/>
    <w:multiLevelType w:val="hybridMultilevel"/>
    <w:tmpl w:val="739C9412"/>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044AE"/>
    <w:multiLevelType w:val="hybridMultilevel"/>
    <w:tmpl w:val="1014247A"/>
    <w:lvl w:ilvl="0" w:tplc="61FA28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6633AD"/>
    <w:multiLevelType w:val="hybridMultilevel"/>
    <w:tmpl w:val="440A9D20"/>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717E7E"/>
    <w:multiLevelType w:val="hybridMultilevel"/>
    <w:tmpl w:val="3E966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0A0BA1"/>
    <w:multiLevelType w:val="hybridMultilevel"/>
    <w:tmpl w:val="1730F4D8"/>
    <w:lvl w:ilvl="0" w:tplc="FFFFFFFF">
      <w:start w:val="1"/>
      <w:numFmt w:val="bullet"/>
      <w:lvlText w:val="-"/>
      <w:lvlJc w:val="left"/>
      <w:pPr>
        <w:ind w:left="720" w:hanging="360"/>
      </w:pPr>
      <w:rPr>
        <w:rFonts w:ascii="Times New Roman" w:eastAsia="Times New Roman" w:hAnsi="Times New Roman" w:cs="Times New Roman" w:hint="default"/>
        <w:b/>
      </w:rPr>
    </w:lvl>
    <w:lvl w:ilvl="1" w:tplc="041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16" w15:restartNumberingAfterBreak="0">
    <w:nsid w:val="5007754B"/>
    <w:multiLevelType w:val="hybridMultilevel"/>
    <w:tmpl w:val="8BAA7562"/>
    <w:lvl w:ilvl="0" w:tplc="FFFFFFFF">
      <w:start w:val="1"/>
      <w:numFmt w:val="bullet"/>
      <w:lvlText w:val="-"/>
      <w:lvlJc w:val="left"/>
      <w:pPr>
        <w:ind w:left="720" w:hanging="360"/>
      </w:pPr>
      <w:rPr>
        <w:rFonts w:ascii="Times New Roman" w:eastAsia="Times New Roman" w:hAnsi="Times New Roman" w:cs="Times New Roman" w:hint="default"/>
        <w:b/>
      </w:rPr>
    </w:lvl>
    <w:lvl w:ilvl="1" w:tplc="041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507F6BCF"/>
    <w:multiLevelType w:val="hybridMultilevel"/>
    <w:tmpl w:val="15547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316201"/>
    <w:multiLevelType w:val="hybridMultilevel"/>
    <w:tmpl w:val="CBCA7FE4"/>
    <w:lvl w:ilvl="0" w:tplc="0422000F">
      <w:start w:val="2"/>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06556FA"/>
    <w:multiLevelType w:val="hybridMultilevel"/>
    <w:tmpl w:val="09182D7C"/>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540B8"/>
    <w:multiLevelType w:val="hybridMultilevel"/>
    <w:tmpl w:val="168C72BE"/>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06192F"/>
    <w:multiLevelType w:val="hybridMultilevel"/>
    <w:tmpl w:val="8BF6D10C"/>
    <w:lvl w:ilvl="0" w:tplc="6064340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666D3657"/>
    <w:multiLevelType w:val="hybridMultilevel"/>
    <w:tmpl w:val="E2B60906"/>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E005A5"/>
    <w:multiLevelType w:val="hybridMultilevel"/>
    <w:tmpl w:val="287CA17E"/>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60041EB"/>
    <w:multiLevelType w:val="hybridMultilevel"/>
    <w:tmpl w:val="23B07AE6"/>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FA4F3D"/>
    <w:multiLevelType w:val="hybridMultilevel"/>
    <w:tmpl w:val="AB62491C"/>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6" w15:restartNumberingAfterBreak="0">
    <w:nsid w:val="799521EB"/>
    <w:multiLevelType w:val="hybridMultilevel"/>
    <w:tmpl w:val="E74E44A6"/>
    <w:lvl w:ilvl="0" w:tplc="AEE04B2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275466"/>
    <w:multiLevelType w:val="hybridMultilevel"/>
    <w:tmpl w:val="19400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num>
  <w:num w:numId="2">
    <w:abstractNumId w:val="25"/>
  </w:num>
  <w:num w:numId="3">
    <w:abstractNumId w:val="6"/>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7"/>
  </w:num>
  <w:num w:numId="6">
    <w:abstractNumId w:val="4"/>
  </w:num>
  <w:num w:numId="7">
    <w:abstractNumId w:val="21"/>
  </w:num>
  <w:num w:numId="8">
    <w:abstractNumId w:val="13"/>
  </w:num>
  <w:num w:numId="9">
    <w:abstractNumId w:val="11"/>
  </w:num>
  <w:num w:numId="10">
    <w:abstractNumId w:val="26"/>
  </w:num>
  <w:num w:numId="11">
    <w:abstractNumId w:val="17"/>
  </w:num>
  <w:num w:numId="12">
    <w:abstractNumId w:val="9"/>
  </w:num>
  <w:num w:numId="13">
    <w:abstractNumId w:val="3"/>
  </w:num>
  <w:num w:numId="14">
    <w:abstractNumId w:val="23"/>
  </w:num>
  <w:num w:numId="15">
    <w:abstractNumId w:val="5"/>
  </w:num>
  <w:num w:numId="16">
    <w:abstractNumId w:val="14"/>
  </w:num>
  <w:num w:numId="17">
    <w:abstractNumId w:val="16"/>
  </w:num>
  <w:num w:numId="18">
    <w:abstractNumId w:val="2"/>
  </w:num>
  <w:num w:numId="19">
    <w:abstractNumId w:val="10"/>
  </w:num>
  <w:num w:numId="20">
    <w:abstractNumId w:val="22"/>
  </w:num>
  <w:num w:numId="21">
    <w:abstractNumId w:val="19"/>
  </w:num>
  <w:num w:numId="22">
    <w:abstractNumId w:val="20"/>
  </w:num>
  <w:num w:numId="23">
    <w:abstractNumId w:val="12"/>
  </w:num>
  <w:num w:numId="24">
    <w:abstractNumId w:val="7"/>
  </w:num>
  <w:num w:numId="25">
    <w:abstractNumId w:val="1"/>
  </w:num>
  <w:num w:numId="26">
    <w:abstractNumId w:val="24"/>
  </w:num>
  <w:num w:numId="27">
    <w:abstractNumId w:val="8"/>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3718E"/>
    <w:rsid w:val="00051C87"/>
    <w:rsid w:val="000C6E30"/>
    <w:rsid w:val="001A63D4"/>
    <w:rsid w:val="001C71D5"/>
    <w:rsid w:val="002F1F28"/>
    <w:rsid w:val="00464A76"/>
    <w:rsid w:val="004D33BD"/>
    <w:rsid w:val="005527AD"/>
    <w:rsid w:val="00564C9C"/>
    <w:rsid w:val="0071212D"/>
    <w:rsid w:val="007329CB"/>
    <w:rsid w:val="00733068"/>
    <w:rsid w:val="007E1CEF"/>
    <w:rsid w:val="0084248B"/>
    <w:rsid w:val="00860A1D"/>
    <w:rsid w:val="00984C2C"/>
    <w:rsid w:val="009B6ECD"/>
    <w:rsid w:val="009F366E"/>
    <w:rsid w:val="00A238BF"/>
    <w:rsid w:val="00B24970"/>
    <w:rsid w:val="00B96EF0"/>
    <w:rsid w:val="00CF2B91"/>
    <w:rsid w:val="00F62C35"/>
    <w:rsid w:val="00FE10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EEF9C"/>
  <w15:chartTrackingRefBased/>
  <w15:docId w15:val="{3A87DD16-B0D4-4327-AC45-AE04E66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18E"/>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Number Bullets,CA bullets"/>
    <w:basedOn w:val="a"/>
    <w:link w:val="a4"/>
    <w:uiPriority w:val="34"/>
    <w:qFormat/>
    <w:rsid w:val="0003718E"/>
    <w:pPr>
      <w:ind w:left="720"/>
      <w:contextualSpacing/>
    </w:pPr>
  </w:style>
  <w:style w:type="character" w:customStyle="1" w:styleId="a4">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3"/>
    <w:uiPriority w:val="34"/>
    <w:qFormat/>
    <w:rsid w:val="0003718E"/>
    <w:rPr>
      <w:rFonts w:ascii="Times New Roman" w:hAnsi="Times New Roman"/>
      <w:sz w:val="28"/>
    </w:rPr>
  </w:style>
  <w:style w:type="character" w:styleId="a5">
    <w:name w:val="Emphasis"/>
    <w:uiPriority w:val="99"/>
    <w:qFormat/>
    <w:rsid w:val="005527AD"/>
    <w:rPr>
      <w:i/>
      <w:iCs/>
    </w:rPr>
  </w:style>
  <w:style w:type="paragraph" w:customStyle="1" w:styleId="a6">
    <w:name w:val="Номер"/>
    <w:basedOn w:val="a"/>
    <w:qFormat/>
    <w:rsid w:val="005527AD"/>
    <w:pPr>
      <w:tabs>
        <w:tab w:val="num" w:pos="1134"/>
      </w:tabs>
      <w:spacing w:before="120" w:after="120"/>
      <w:ind w:firstLine="709"/>
      <w:jc w:val="both"/>
    </w:pPr>
    <w:rPr>
      <w:rFonts w:ascii="Calibri" w:eastAsia="Times New Roman" w:hAnsi="Calibri" w:cs="Calibri"/>
      <w:szCs w:val="28"/>
      <w:lang w:eastAsia="ru-RU"/>
    </w:rPr>
  </w:style>
  <w:style w:type="paragraph" w:styleId="a7">
    <w:name w:val="Balloon Text"/>
    <w:basedOn w:val="a"/>
    <w:link w:val="a8"/>
    <w:uiPriority w:val="99"/>
    <w:semiHidden/>
    <w:unhideWhenUsed/>
    <w:rsid w:val="00733068"/>
    <w:rPr>
      <w:rFonts w:ascii="Segoe UI" w:hAnsi="Segoe UI" w:cs="Segoe UI"/>
      <w:sz w:val="18"/>
      <w:szCs w:val="18"/>
    </w:rPr>
  </w:style>
  <w:style w:type="character" w:customStyle="1" w:styleId="a8">
    <w:name w:val="Текст у виносці Знак"/>
    <w:basedOn w:val="a0"/>
    <w:link w:val="a7"/>
    <w:uiPriority w:val="99"/>
    <w:semiHidden/>
    <w:rsid w:val="00733068"/>
    <w:rPr>
      <w:rFonts w:ascii="Segoe UI" w:hAnsi="Segoe UI" w:cs="Segoe UI"/>
      <w:sz w:val="18"/>
      <w:szCs w:val="18"/>
    </w:rPr>
  </w:style>
  <w:style w:type="character" w:customStyle="1" w:styleId="a9">
    <w:name w:val="Основной текст_"/>
    <w:link w:val="3"/>
    <w:rsid w:val="009B6ECD"/>
    <w:rPr>
      <w:rFonts w:ascii="Times New Roman" w:eastAsia="Times New Roman" w:hAnsi="Times New Roman"/>
      <w:sz w:val="23"/>
      <w:szCs w:val="23"/>
      <w:shd w:val="clear" w:color="auto" w:fill="FFFFFF"/>
    </w:rPr>
  </w:style>
  <w:style w:type="paragraph" w:customStyle="1" w:styleId="3">
    <w:name w:val="Основной текст3"/>
    <w:basedOn w:val="a"/>
    <w:link w:val="a9"/>
    <w:rsid w:val="009B6ECD"/>
    <w:pPr>
      <w:widowControl w:val="0"/>
      <w:shd w:val="clear" w:color="auto" w:fill="FFFFFF"/>
      <w:spacing w:after="60" w:line="0" w:lineRule="atLeast"/>
      <w:ind w:hanging="420"/>
      <w:jc w:val="right"/>
    </w:pPr>
    <w:rPr>
      <w:rFonts w:eastAsia="Times New Roman"/>
      <w:sz w:val="23"/>
      <w:szCs w:val="23"/>
    </w:rPr>
  </w:style>
  <w:style w:type="paragraph" w:styleId="aa">
    <w:name w:val="Normal (Web)"/>
    <w:basedOn w:val="a"/>
    <w:unhideWhenUsed/>
    <w:qFormat/>
    <w:rsid w:val="00464A76"/>
    <w:pPr>
      <w:spacing w:before="100" w:beforeAutospacing="1" w:after="100" w:afterAutospacing="1"/>
    </w:pPr>
    <w:rPr>
      <w:rFonts w:eastAsia="Times New Roman" w:cs="Times New Roman"/>
      <w:sz w:val="24"/>
      <w:szCs w:val="24"/>
      <w:lang w:val="ru-RU" w:eastAsia="ru-RU"/>
    </w:rPr>
  </w:style>
  <w:style w:type="paragraph" w:customStyle="1" w:styleId="8">
    <w:name w:val="Основной текст8"/>
    <w:basedOn w:val="a"/>
    <w:rsid w:val="00F62C35"/>
    <w:pPr>
      <w:widowControl w:val="0"/>
      <w:shd w:val="clear" w:color="auto" w:fill="FFFFFF"/>
      <w:spacing w:before="540" w:after="300" w:line="0" w:lineRule="atLeast"/>
      <w:ind w:hanging="360"/>
      <w:jc w:val="both"/>
    </w:pPr>
    <w:rPr>
      <w:rFonts w:cs="Times New Roman"/>
      <w:sz w:val="23"/>
      <w:szCs w:val="23"/>
    </w:rPr>
  </w:style>
  <w:style w:type="paragraph" w:styleId="ab">
    <w:name w:val="Body Text"/>
    <w:basedOn w:val="a"/>
    <w:link w:val="ac"/>
    <w:uiPriority w:val="99"/>
    <w:semiHidden/>
    <w:unhideWhenUsed/>
    <w:rsid w:val="00F62C35"/>
    <w:pPr>
      <w:spacing w:after="120" w:line="259" w:lineRule="auto"/>
    </w:pPr>
    <w:rPr>
      <w:rFonts w:ascii="Calibri" w:eastAsia="Calibri" w:hAnsi="Calibri" w:cs="Times New Roman"/>
      <w:sz w:val="22"/>
      <w:lang w:val="ru-RU"/>
    </w:rPr>
  </w:style>
  <w:style w:type="character" w:customStyle="1" w:styleId="ac">
    <w:name w:val="Основний текст Знак"/>
    <w:basedOn w:val="a0"/>
    <w:link w:val="ab"/>
    <w:uiPriority w:val="99"/>
    <w:semiHidden/>
    <w:rsid w:val="00F62C35"/>
    <w:rPr>
      <w:rFonts w:ascii="Calibri" w:eastAsia="Calibri" w:hAnsi="Calibri" w:cs="Times New Roman"/>
      <w:lang w:val="ru-RU"/>
    </w:rPr>
  </w:style>
  <w:style w:type="table" w:styleId="ad">
    <w:name w:val="Table Grid"/>
    <w:basedOn w:val="a1"/>
    <w:uiPriority w:val="39"/>
    <w:rsid w:val="00564C9C"/>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12113</Words>
  <Characters>6905</Characters>
  <Application>Microsoft Office Word</Application>
  <DocSecurity>0</DocSecurity>
  <Lines>57</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Okhrymchuk Irina</dc:creator>
  <cp:keywords/>
  <dc:description/>
  <cp:lastModifiedBy>Okhrymchuk Irina</cp:lastModifiedBy>
  <cp:revision>28</cp:revision>
  <cp:lastPrinted>2024-08-29T12:02:00Z</cp:lastPrinted>
  <dcterms:created xsi:type="dcterms:W3CDTF">2024-04-11T08:32:00Z</dcterms:created>
  <dcterms:modified xsi:type="dcterms:W3CDTF">2024-11-20T13:28:00Z</dcterms:modified>
</cp:coreProperties>
</file>