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Default="0003718E" w:rsidP="0003718E">
      <w:pPr>
        <w:jc w:val="center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64C9C" w:rsidRPr="000070DA" w:rsidRDefault="00564C9C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Times New Roman" w:cs="Times New Roman"/>
          <w:sz w:val="24"/>
          <w:szCs w:val="24"/>
          <w:lang w:eastAsia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64C9C" w:rsidRPr="00564C9C" w:rsidRDefault="00564C9C" w:rsidP="00564C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ПІДСТАВИ</w:t>
      </w:r>
    </w:p>
    <w:p w:rsidR="00564C9C" w:rsidRPr="00564C9C" w:rsidRDefault="00564C9C" w:rsidP="00564C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564C9C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для здійснення закупівлі </w:t>
      </w:r>
      <w:r w:rsidRPr="00564C9C">
        <w:rPr>
          <w:rFonts w:eastAsia="Times New Roman" w:cs="Times New Roman"/>
          <w:b/>
          <w:color w:val="000000"/>
          <w:sz w:val="24"/>
          <w:szCs w:val="24"/>
          <w:lang w:eastAsia="uk-UA"/>
        </w:rPr>
        <w:t>згідно з підпунктом 5 пункту 13 Особливостей</w:t>
      </w:r>
      <w:r w:rsidRPr="00564C9C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:rsidR="00564C9C" w:rsidRPr="00564C9C" w:rsidRDefault="00564C9C" w:rsidP="00564C9C">
      <w:pPr>
        <w:rPr>
          <w:rFonts w:eastAsia="Times New Roman" w:cs="Times New Roman"/>
          <w:b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 xml:space="preserve"> </w:t>
      </w: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564C9C">
        <w:rPr>
          <w:rFonts w:eastAsia="Times New Roman" w:cs="Times New Roman"/>
          <w:sz w:val="24"/>
          <w:szCs w:val="24"/>
          <w:lang w:eastAsia="uk-UA"/>
        </w:rPr>
        <w:t>Державна митна служба України; вул. Дегтярівська, 11-Г, м. Київ, 04119; код за ЄДРПОУ – 43115923; категорія замовника – орган державної  влади.</w:t>
      </w:r>
    </w:p>
    <w:p w:rsidR="00564C9C" w:rsidRPr="00564C9C" w:rsidRDefault="00564C9C" w:rsidP="00564C9C">
      <w:pPr>
        <w:jc w:val="both"/>
        <w:rPr>
          <w:rFonts w:eastAsia="Times New Roman" w:cs="Times New Roman"/>
          <w:b/>
          <w:sz w:val="24"/>
          <w:szCs w:val="24"/>
          <w:lang w:eastAsia="uk-UA"/>
        </w:rPr>
      </w:pP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64C9C">
        <w:rPr>
          <w:rFonts w:eastAsia="Times New Roman" w:cs="Times New Roman"/>
          <w:sz w:val="24"/>
          <w:szCs w:val="24"/>
          <w:lang w:eastAsia="uk-UA"/>
        </w:rPr>
        <w:t xml:space="preserve"> </w:t>
      </w:r>
    </w:p>
    <w:p w:rsidR="001C71D5" w:rsidRDefault="00C8343F" w:rsidP="00564C9C">
      <w:pPr>
        <w:jc w:val="both"/>
        <w:rPr>
          <w:rFonts w:eastAsia="Calibri" w:cs="Times New Roman"/>
          <w:sz w:val="24"/>
          <w:szCs w:val="24"/>
          <w:lang w:eastAsia="uk-UA"/>
        </w:rPr>
      </w:pPr>
      <w:r w:rsidRPr="00C8343F">
        <w:rPr>
          <w:rFonts w:eastAsia="Calibri" w:cs="Times New Roman"/>
          <w:sz w:val="24"/>
          <w:szCs w:val="24"/>
          <w:lang w:eastAsia="uk-UA"/>
        </w:rPr>
        <w:t>Ліцензія на право використання Системи «YOUCONTROL». Комерційна назва «Повний доступ». Ліцензія на право використання Системи «YOUCONTROL». Комерційна назва «Повний доступ допоміжна») за кодом ДК 021:2015  48771000-3 Пакети службового програмного забезпечення загального призначення (Ліцензія на право використання Системи «YOUCONTROL». Комерційна назва «Повний доступ». Ліцензія на право використання Системи «YOUCONTROL». Комерційна назва «Повний доступ допоміжна».</w:t>
      </w:r>
    </w:p>
    <w:p w:rsidR="00C8343F" w:rsidRPr="00564C9C" w:rsidRDefault="00C8343F" w:rsidP="00564C9C">
      <w:pPr>
        <w:jc w:val="both"/>
        <w:rPr>
          <w:rFonts w:eastAsia="Times New Roman" w:cs="Times New Roman"/>
          <w:b/>
          <w:sz w:val="24"/>
          <w:szCs w:val="24"/>
          <w:lang w:eastAsia="uk-UA"/>
        </w:rPr>
      </w:pP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val="en-US"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>Вид та ідентифікатор процедур закупівель (у разі наявності):</w:t>
      </w:r>
      <w:r w:rsidRPr="00564C9C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UA-2024-</w:t>
      </w:r>
      <w:r w:rsidR="001C71D5">
        <w:rPr>
          <w:rFonts w:eastAsia="Times New Roman" w:cs="Times New Roman"/>
          <w:sz w:val="24"/>
          <w:szCs w:val="24"/>
          <w:lang w:eastAsia="uk-UA"/>
        </w:rPr>
        <w:t>1</w:t>
      </w:r>
      <w:r w:rsidR="00C8343F">
        <w:rPr>
          <w:rFonts w:eastAsia="Times New Roman" w:cs="Times New Roman"/>
          <w:sz w:val="24"/>
          <w:szCs w:val="24"/>
          <w:lang w:val="en-US" w:eastAsia="uk-UA"/>
        </w:rPr>
        <w:t>2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-</w:t>
      </w:r>
      <w:r w:rsidR="00C8343F">
        <w:rPr>
          <w:rFonts w:eastAsia="Times New Roman" w:cs="Times New Roman"/>
          <w:sz w:val="24"/>
          <w:szCs w:val="24"/>
          <w:lang w:val="en-US" w:eastAsia="uk-UA"/>
        </w:rPr>
        <w:t>02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-</w:t>
      </w:r>
      <w:r w:rsidR="00C8343F">
        <w:rPr>
          <w:rFonts w:eastAsia="Times New Roman" w:cs="Times New Roman"/>
          <w:sz w:val="24"/>
          <w:szCs w:val="24"/>
          <w:lang w:val="en-US" w:eastAsia="uk-UA"/>
        </w:rPr>
        <w:t>013726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-a</w:t>
      </w: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C8343F" w:rsidRDefault="00564C9C" w:rsidP="00C8343F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rFonts w:eastAsia="Calibri" w:cs="Times New Roman"/>
          <w:sz w:val="24"/>
          <w:szCs w:val="24"/>
          <w:lang w:eastAsia="uk-UA"/>
        </w:rPr>
      </w:pPr>
      <w:r w:rsidRPr="00564C9C">
        <w:rPr>
          <w:rFonts w:eastAsia="Calibri" w:cs="Calibri"/>
          <w:szCs w:val="28"/>
          <w:lang w:eastAsia="ru-RU"/>
        </w:rPr>
        <w:t xml:space="preserve"> </w:t>
      </w:r>
      <w:r w:rsidRPr="00564C9C">
        <w:rPr>
          <w:rFonts w:eastAsia="Times New Roman" w:cs="Times New Roman"/>
          <w:b/>
          <w:sz w:val="24"/>
          <w:szCs w:val="24"/>
          <w:lang w:eastAsia="uk-UA"/>
        </w:rPr>
        <w:t>Розмір бюджетного призначення:</w:t>
      </w:r>
      <w:r w:rsidRPr="00564C9C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="00C8343F" w:rsidRPr="00C8343F">
        <w:rPr>
          <w:rFonts w:eastAsia="Calibri" w:cs="Times New Roman"/>
          <w:sz w:val="24"/>
          <w:szCs w:val="24"/>
          <w:lang w:eastAsia="uk-UA"/>
        </w:rPr>
        <w:t xml:space="preserve">574 920,00 гривень згідно з кошторисом розрахунків Держмитслужби. </w:t>
      </w:r>
    </w:p>
    <w:p w:rsidR="00564C9C" w:rsidRPr="00564C9C" w:rsidRDefault="00564C9C" w:rsidP="00564C9C">
      <w:pPr>
        <w:spacing w:before="280" w:after="280"/>
        <w:jc w:val="both"/>
        <w:rPr>
          <w:rFonts w:eastAsia="Times New Roman" w:cs="Times New Roman"/>
          <w:i/>
          <w:sz w:val="24"/>
          <w:szCs w:val="24"/>
          <w:u w:val="single"/>
          <w:lang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 xml:space="preserve">Підстави для здійснення закупівлі: </w:t>
      </w:r>
      <w:r w:rsidR="00C8343F" w:rsidRPr="00C8343F">
        <w:rPr>
          <w:rFonts w:eastAsia="Times New Roman" w:cs="Times New Roman"/>
          <w:i/>
          <w:sz w:val="24"/>
          <w:szCs w:val="24"/>
          <w:lang w:eastAsia="uk-UA"/>
        </w:rPr>
        <w:t>відповідно до підпункту 5 пункту 13 Особливостей роботи, товари чи послуги можуть бути виконані, поставлені чи надані виключно певним суб’єктом господарювання  у випадку необхідності захисту прав інтелектуальної власності.</w:t>
      </w:r>
    </w:p>
    <w:p w:rsidR="00564C9C" w:rsidRDefault="00564C9C" w:rsidP="00564C9C">
      <w:pPr>
        <w:tabs>
          <w:tab w:val="left" w:pos="284"/>
        </w:tabs>
        <w:spacing w:before="240" w:line="276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>Обґрунтування підстави для здійснення закупівлі</w:t>
      </w:r>
      <w:r w:rsidRPr="00564C9C">
        <w:rPr>
          <w:rFonts w:eastAsia="Times New Roman" w:cs="Times New Roman"/>
          <w:b/>
          <w:color w:val="000000"/>
          <w:sz w:val="24"/>
          <w:szCs w:val="24"/>
          <w:lang w:eastAsia="uk-UA"/>
        </w:rPr>
        <w:t>:</w:t>
      </w:r>
      <w:r w:rsidRPr="00564C9C">
        <w:rPr>
          <w:rFonts w:eastAsia="Times New Roman" w:cs="Times New Roman"/>
          <w:i/>
          <w:color w:val="000000"/>
          <w:sz w:val="24"/>
          <w:szCs w:val="24"/>
          <w:lang w:eastAsia="uk-UA"/>
        </w:rPr>
        <w:t xml:space="preserve"> </w:t>
      </w:r>
    </w:p>
    <w:p w:rsidR="00C8343F" w:rsidRPr="00C8343F" w:rsidRDefault="00C8343F" w:rsidP="00C83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:rsidR="00C8343F" w:rsidRPr="00C8343F" w:rsidRDefault="00C8343F" w:rsidP="00C8343F">
      <w:pPr>
        <w:ind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C8343F">
        <w:rPr>
          <w:rFonts w:eastAsia="Times New Roman" w:cs="Times New Roman"/>
          <w:i/>
          <w:sz w:val="24"/>
          <w:szCs w:val="24"/>
          <w:lang w:eastAsia="uk-UA"/>
        </w:rPr>
        <w:t>Указом Президента України від 24.02.2022 № 64 (зі змінами) термін дії воєнного стану встановлено до 08 лютого 2025 року.</w:t>
      </w:r>
    </w:p>
    <w:p w:rsidR="00C8343F" w:rsidRPr="00C8343F" w:rsidRDefault="00C8343F" w:rsidP="00C83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>Статтею 4 Указу № 64 Кабінету Міністрів України постановлено невідкладно:</w:t>
      </w:r>
    </w:p>
    <w:p w:rsidR="00C8343F" w:rsidRPr="00C8343F" w:rsidRDefault="00C8343F" w:rsidP="00C83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>1) ввести в дію план запровадження та забезпечення заходів правового режиму воєнного стану в Україні;</w:t>
      </w:r>
    </w:p>
    <w:p w:rsidR="00C8343F" w:rsidRPr="00C8343F" w:rsidRDefault="00C8343F" w:rsidP="00C83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>2) забезпечити фінансування та вжити в межах повноважень інших заходів, пов</w:t>
      </w:r>
      <w:r w:rsidRPr="00C8343F">
        <w:rPr>
          <w:rFonts w:eastAsia="Times New Roman" w:cs="Times New Roman"/>
          <w:sz w:val="24"/>
          <w:szCs w:val="24"/>
          <w:lang w:eastAsia="uk-UA"/>
        </w:rPr>
        <w:t>’</w:t>
      </w: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>язаних із запровадженням правового режиму воєнного стану на території України.</w:t>
      </w:r>
    </w:p>
    <w:p w:rsidR="00C8343F" w:rsidRPr="00C8343F" w:rsidRDefault="00C8343F" w:rsidP="00C83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>Стаття 12</w:t>
      </w:r>
      <w:r w:rsidRPr="00C8343F">
        <w:rPr>
          <w:rFonts w:eastAsia="Times New Roman" w:cs="Times New Roman"/>
          <w:color w:val="000000"/>
          <w:sz w:val="24"/>
          <w:szCs w:val="24"/>
          <w:vertAlign w:val="superscript"/>
          <w:lang w:eastAsia="uk-UA"/>
        </w:rPr>
        <w:t>1</w:t>
      </w: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:rsidR="00C8343F" w:rsidRPr="00C8343F" w:rsidRDefault="00C8343F" w:rsidP="00C83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>1) працює відповідно до Регламенту Кабінету Міністрів України в умовах воєнного стану;</w:t>
      </w:r>
    </w:p>
    <w:p w:rsidR="00C8343F" w:rsidRPr="00C8343F" w:rsidRDefault="00C8343F" w:rsidP="00C83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:rsidR="00C8343F" w:rsidRPr="00C8343F" w:rsidRDefault="00C8343F" w:rsidP="00C83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C8343F">
        <w:rPr>
          <w:rFonts w:eastAsia="Times New Roman" w:cs="Times New Roman"/>
          <w:sz w:val="24"/>
          <w:szCs w:val="24"/>
          <w:lang w:eastAsia="uk-UA"/>
        </w:rPr>
        <w:lastRenderedPageBreak/>
        <w:t>Згідно з с</w:t>
      </w: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:rsidR="00C8343F" w:rsidRPr="00C8343F" w:rsidRDefault="00C8343F" w:rsidP="00C83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З метою невідкладного забезпечення заходів правового режиму воєнного стану, до яких, у тому числі, входить здійснення публічних закупівель, частиною </w:t>
      </w:r>
      <w:r w:rsidRPr="00C8343F">
        <w:rPr>
          <w:rFonts w:eastAsia="Times New Roman" w:cs="Times New Roman"/>
          <w:sz w:val="24"/>
          <w:szCs w:val="24"/>
          <w:lang w:eastAsia="uk-UA"/>
        </w:rPr>
        <w:t>3</w:t>
      </w:r>
      <w:r w:rsidRPr="00C8343F">
        <w:rPr>
          <w:rFonts w:eastAsia="Times New Roman" w:cs="Times New Roman"/>
          <w:sz w:val="24"/>
          <w:szCs w:val="24"/>
          <w:vertAlign w:val="superscript"/>
          <w:lang w:eastAsia="uk-UA"/>
        </w:rPr>
        <w:t>7</w:t>
      </w: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розділу Х </w:t>
      </w:r>
      <w:r w:rsidRPr="00C8343F">
        <w:rPr>
          <w:rFonts w:eastAsia="Times New Roman" w:cs="Times New Roman"/>
          <w:sz w:val="24"/>
          <w:szCs w:val="24"/>
          <w:lang w:eastAsia="uk-UA"/>
        </w:rPr>
        <w:t xml:space="preserve">«Прикінцеві та перехідні положення» </w:t>
      </w: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Закону України «Про публічні закупівлі» (далі </w:t>
      </w:r>
      <w:r w:rsidRPr="00C8343F">
        <w:rPr>
          <w:rFonts w:eastAsia="Times New Roman" w:cs="Times New Roman"/>
          <w:sz w:val="24"/>
          <w:szCs w:val="24"/>
          <w:lang w:eastAsia="uk-UA"/>
        </w:rPr>
        <w:t>—</w:t>
      </w: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5" w:anchor="n16">
        <w:r w:rsidRPr="00C8343F">
          <w:rPr>
            <w:rFonts w:eastAsia="Times New Roman" w:cs="Times New Roman"/>
            <w:color w:val="000000"/>
            <w:sz w:val="24"/>
            <w:szCs w:val="24"/>
            <w:lang w:eastAsia="uk-UA"/>
          </w:rPr>
          <w:t>особливості здійснення закупівель товарів, робіт і послуг для замовників, передбачених цим Законом</w:t>
        </w:r>
      </w:hyperlink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:rsidR="00C8343F" w:rsidRPr="00C8343F" w:rsidRDefault="00C8343F" w:rsidP="00C834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uk-UA"/>
        </w:rPr>
      </w:pP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На виконання </w:t>
      </w:r>
      <w:r w:rsidRPr="00C8343F">
        <w:rPr>
          <w:rFonts w:eastAsia="Times New Roman" w:cs="Times New Roman"/>
          <w:sz w:val="24"/>
          <w:szCs w:val="24"/>
          <w:lang w:eastAsia="uk-UA"/>
        </w:rPr>
        <w:t>ціє</w:t>
      </w: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>ї норми Закону урядом бул</w:t>
      </w:r>
      <w:r w:rsidRPr="00C8343F">
        <w:rPr>
          <w:rFonts w:eastAsia="Times New Roman" w:cs="Times New Roman"/>
          <w:sz w:val="24"/>
          <w:szCs w:val="24"/>
          <w:lang w:eastAsia="uk-UA"/>
        </w:rPr>
        <w:t>и</w:t>
      </w: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прийнят</w:t>
      </w:r>
      <w:r w:rsidRPr="00C8343F">
        <w:rPr>
          <w:rFonts w:eastAsia="Times New Roman" w:cs="Times New Roman"/>
          <w:sz w:val="24"/>
          <w:szCs w:val="24"/>
          <w:lang w:eastAsia="uk-UA"/>
        </w:rPr>
        <w:t xml:space="preserve">і </w:t>
      </w:r>
      <w:r w:rsidRPr="00C8343F">
        <w:rPr>
          <w:rFonts w:eastAsia="Times New Roman" w:cs="Times New Roman"/>
          <w:b/>
          <w:i/>
          <w:sz w:val="24"/>
          <w:szCs w:val="24"/>
          <w:lang w:eastAsia="uk-UA"/>
        </w:rPr>
        <w:t>Особливості</w:t>
      </w:r>
      <w:r w:rsidRPr="00C8343F">
        <w:rPr>
          <w:rFonts w:eastAsia="Times New Roman" w:cs="Times New Roman"/>
          <w:b/>
          <w:color w:val="000000"/>
          <w:sz w:val="24"/>
          <w:szCs w:val="24"/>
          <w:lang w:eastAsia="uk-UA"/>
        </w:rPr>
        <w:t>.</w:t>
      </w:r>
    </w:p>
    <w:p w:rsidR="00C8343F" w:rsidRPr="00C8343F" w:rsidRDefault="00C8343F" w:rsidP="00C8343F">
      <w:pPr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8343F">
        <w:rPr>
          <w:rFonts w:eastAsia="Times New Roman" w:cs="Times New Roman"/>
          <w:sz w:val="24"/>
          <w:szCs w:val="24"/>
          <w:lang w:eastAsia="uk-UA"/>
        </w:rPr>
        <w:t xml:space="preserve">Положеннями </w:t>
      </w:r>
      <w:r w:rsidRPr="00C8343F">
        <w:rPr>
          <w:rFonts w:eastAsia="Times New Roman" w:cs="Times New Roman"/>
          <w:b/>
          <w:i/>
          <w:sz w:val="24"/>
          <w:szCs w:val="24"/>
          <w:lang w:eastAsia="uk-UA"/>
        </w:rPr>
        <w:t>Особливостей</w:t>
      </w:r>
      <w:r w:rsidRPr="00C8343F">
        <w:rPr>
          <w:rFonts w:eastAsia="Times New Roman" w:cs="Times New Roman"/>
          <w:sz w:val="24"/>
          <w:szCs w:val="24"/>
          <w:lang w:eastAsia="uk-UA"/>
        </w:rPr>
        <w:t xml:space="preserve"> передбачено </w:t>
      </w:r>
      <w:r w:rsidRPr="00C8343F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підставу для здійснення закупівлі за </w:t>
      </w:r>
      <w:r w:rsidRPr="00C8343F">
        <w:rPr>
          <w:rFonts w:eastAsia="Times New Roman" w:cs="Times New Roman"/>
          <w:b/>
          <w:color w:val="000000"/>
          <w:sz w:val="24"/>
          <w:szCs w:val="24"/>
          <w:lang w:eastAsia="uk-UA"/>
        </w:rPr>
        <w:t>підпунктом 5 пункту 13:</w:t>
      </w:r>
      <w:r w:rsidRPr="00C8343F">
        <w:rPr>
          <w:rFonts w:eastAsia="Times New Roman" w:cs="Times New Roman"/>
          <w:sz w:val="24"/>
          <w:szCs w:val="24"/>
          <w:lang w:eastAsia="uk-UA"/>
        </w:rPr>
        <w:t xml:space="preserve">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 w:rsidRPr="00C8343F">
        <w:rPr>
          <w:rFonts w:eastAsia="Times New Roman" w:cs="Times New Roman"/>
          <w:i/>
          <w:sz w:val="24"/>
          <w:szCs w:val="24"/>
          <w:lang w:eastAsia="uk-UA"/>
        </w:rPr>
        <w:t>роботи, товари чи послуги можуть бути виконані, поставлені чи надані виключно певним суб’єктом господарювання у випадку необхідності захисту прав інтелектуальної власності.</w:t>
      </w:r>
      <w:r w:rsidRPr="00C8343F">
        <w:rPr>
          <w:rFonts w:eastAsia="Times New Roman" w:cs="Times New Roman"/>
          <w:sz w:val="24"/>
          <w:szCs w:val="24"/>
          <w:lang w:eastAsia="uk-UA"/>
        </w:rPr>
        <w:t xml:space="preserve"> </w:t>
      </w:r>
    </w:p>
    <w:p w:rsidR="00C8343F" w:rsidRPr="00C8343F" w:rsidRDefault="00C8343F" w:rsidP="00C8343F">
      <w:pPr>
        <w:rPr>
          <w:rFonts w:eastAsia="Times New Roman" w:cs="Times New Roman"/>
          <w:i/>
          <w:sz w:val="24"/>
          <w:szCs w:val="24"/>
          <w:lang w:eastAsia="uk-UA"/>
        </w:rPr>
      </w:pPr>
    </w:p>
    <w:p w:rsidR="00C8343F" w:rsidRPr="00C8343F" w:rsidRDefault="00C8343F" w:rsidP="00C8343F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C8343F">
        <w:rPr>
          <w:rFonts w:eastAsia="Calibri" w:cs="Times New Roman"/>
          <w:sz w:val="24"/>
          <w:szCs w:val="26"/>
          <w:lang w:eastAsia="ru-RU"/>
        </w:rPr>
        <w:t>Обсяг закупівлі визначається на підставі річного планування, а також з урахуванням потреби замовника до кінця 2025 року.</w:t>
      </w:r>
    </w:p>
    <w:p w:rsidR="00C8343F" w:rsidRPr="00C8343F" w:rsidRDefault="00C8343F" w:rsidP="00C8343F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C8343F">
        <w:rPr>
          <w:rFonts w:eastAsia="Calibri" w:cs="Times New Roman"/>
          <w:sz w:val="24"/>
          <w:szCs w:val="26"/>
          <w:lang w:eastAsia="ru-RU"/>
        </w:rPr>
        <w:t>Відповідно існує потреба у здійсненні Закупівлі.</w:t>
      </w:r>
    </w:p>
    <w:p w:rsidR="00C8343F" w:rsidRPr="00C8343F" w:rsidRDefault="00C8343F" w:rsidP="00C8343F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C8343F">
        <w:rPr>
          <w:rFonts w:eastAsia="Calibri" w:cs="Times New Roman"/>
          <w:sz w:val="24"/>
          <w:szCs w:val="26"/>
          <w:lang w:eastAsia="ru-RU"/>
        </w:rPr>
        <w:t>Враховуючи те, що існує необхідність захисту прав інтелектуальної власності на Комп’ютерну програму «Інформаційно-аналітична система пошуку і обробки інформації у сфері господарської та інших видів діяльності «</w:t>
      </w:r>
      <w:r w:rsidRPr="00C8343F">
        <w:rPr>
          <w:rFonts w:eastAsia="Segoe UI" w:cs="Times New Roman"/>
          <w:color w:val="000000"/>
          <w:kern w:val="3"/>
          <w:sz w:val="24"/>
          <w:szCs w:val="26"/>
          <w:lang w:val="en-US" w:eastAsia="ru-RU" w:bidi="hi-IN"/>
        </w:rPr>
        <w:t>YOUCONTROL</w:t>
      </w:r>
      <w:r w:rsidRPr="00C8343F">
        <w:rPr>
          <w:rFonts w:eastAsia="Calibri" w:cs="Times New Roman"/>
          <w:sz w:val="24"/>
          <w:szCs w:val="26"/>
          <w:lang w:eastAsia="ru-RU"/>
        </w:rPr>
        <w:t xml:space="preserve">» </w:t>
      </w:r>
      <w:r w:rsidRPr="00C8343F">
        <w:rPr>
          <w:rFonts w:eastAsia="Calibri" w:cs="Times New Roman"/>
          <w:i/>
          <w:sz w:val="24"/>
          <w:szCs w:val="26"/>
          <w:lang w:eastAsia="ru-RU"/>
        </w:rPr>
        <w:t>(документ про підтвердження права інтелектуальної власності  - Свідоцтво про реєстрацію авторського права на твір від 10.06.2016 № 65971, виданий Державною службою інтелектуальної власності України, додається)</w:t>
      </w:r>
      <w:r w:rsidRPr="00C8343F">
        <w:rPr>
          <w:rFonts w:eastAsia="Calibri" w:cs="Times New Roman"/>
          <w:sz w:val="24"/>
          <w:szCs w:val="26"/>
          <w:lang w:eastAsia="ru-RU"/>
        </w:rPr>
        <w:t>, застосовується вищевказане виключення.</w:t>
      </w:r>
    </w:p>
    <w:p w:rsidR="00C8343F" w:rsidRPr="00C8343F" w:rsidRDefault="00C8343F" w:rsidP="00C8343F">
      <w:pPr>
        <w:widowControl w:val="0"/>
        <w:suppressAutoHyphens/>
        <w:autoSpaceDN w:val="0"/>
        <w:ind w:firstLine="708"/>
        <w:jc w:val="both"/>
        <w:textAlignment w:val="baseline"/>
        <w:rPr>
          <w:rFonts w:eastAsia="Times New Roman" w:cs="Tahoma"/>
          <w:color w:val="000000"/>
          <w:kern w:val="3"/>
          <w:sz w:val="24"/>
          <w:szCs w:val="26"/>
          <w:lang w:eastAsia="ru-RU" w:bidi="hi-IN"/>
        </w:rPr>
      </w:pPr>
      <w:r w:rsidRPr="00C8343F">
        <w:rPr>
          <w:rFonts w:eastAsia="Calibri" w:cs="Times New Roman"/>
          <w:sz w:val="24"/>
          <w:szCs w:val="26"/>
          <w:lang w:eastAsia="ru-RU"/>
        </w:rPr>
        <w:t>Водночас слід зазначити, що в</w:t>
      </w:r>
      <w:r w:rsidRPr="00C8343F">
        <w:rPr>
          <w:rFonts w:eastAsia="Times New Roman" w:cs="Tahoma"/>
          <w:color w:val="000000"/>
          <w:kern w:val="3"/>
          <w:sz w:val="24"/>
          <w:szCs w:val="26"/>
          <w:lang w:eastAsia="ru-RU" w:bidi="hi-IN"/>
        </w:rPr>
        <w:t>ідповідно до пункту 47 Особливостей замовник приймає рішення про відмову учаснику процедури закупівлі в участі у відкритих торгах та зобов’язаний відхилити тендерну пропозицію учасника процедури закупівлі в разі, коли наявні підстави, які визначені в даному пункті.</w:t>
      </w:r>
    </w:p>
    <w:p w:rsidR="00C8343F" w:rsidRPr="00C8343F" w:rsidRDefault="00C8343F" w:rsidP="00C8343F">
      <w:pPr>
        <w:ind w:firstLine="708"/>
        <w:contextualSpacing/>
        <w:jc w:val="both"/>
        <w:rPr>
          <w:rFonts w:eastAsia="Times New Roman" w:cs="Calibri"/>
          <w:sz w:val="24"/>
          <w:szCs w:val="26"/>
          <w:lang w:eastAsia="ru-RU"/>
        </w:rPr>
      </w:pPr>
      <w:r w:rsidRPr="00C8343F">
        <w:rPr>
          <w:rFonts w:eastAsia="Times New Roman" w:cs="Calibri"/>
          <w:sz w:val="24"/>
          <w:szCs w:val="26"/>
          <w:lang w:eastAsia="ru-RU"/>
        </w:rPr>
        <w:t>Тож, замовник має перевірити інформацію, яка передбачена в пункті 47 Особливостей, на предмет її достовірності.</w:t>
      </w:r>
    </w:p>
    <w:p w:rsidR="00C8343F" w:rsidRPr="00C8343F" w:rsidRDefault="00C8343F" w:rsidP="00C8343F">
      <w:pPr>
        <w:ind w:firstLine="708"/>
        <w:contextualSpacing/>
        <w:jc w:val="both"/>
        <w:rPr>
          <w:rFonts w:eastAsia="Times New Roman" w:cs="Calibri"/>
          <w:sz w:val="24"/>
          <w:szCs w:val="26"/>
          <w:lang w:eastAsia="ru-RU"/>
        </w:rPr>
      </w:pPr>
      <w:r w:rsidRPr="00C8343F">
        <w:rPr>
          <w:rFonts w:eastAsia="Times New Roman" w:cs="Calibri"/>
          <w:sz w:val="24"/>
          <w:szCs w:val="26"/>
          <w:lang w:eastAsia="ru-RU"/>
        </w:rPr>
        <w:t xml:space="preserve">Проте, зробити це самостійно замовник може лише щодо кількох підпунктів, за рештою – це неможливо, так як відсутні відповідні відкриті дані згідно із Законом України «Про доступ до публічної інформації». </w:t>
      </w:r>
    </w:p>
    <w:p w:rsidR="00C8343F" w:rsidRPr="00C8343F" w:rsidRDefault="00C8343F" w:rsidP="00C8343F">
      <w:pPr>
        <w:ind w:firstLine="708"/>
        <w:contextualSpacing/>
        <w:jc w:val="both"/>
        <w:rPr>
          <w:rFonts w:eastAsia="Times New Roman" w:cs="Calibri"/>
          <w:sz w:val="24"/>
          <w:szCs w:val="26"/>
          <w:lang w:eastAsia="ru-RU"/>
        </w:rPr>
      </w:pPr>
      <w:r w:rsidRPr="00C8343F">
        <w:rPr>
          <w:rFonts w:eastAsia="Times New Roman" w:cs="Calibri"/>
          <w:sz w:val="24"/>
          <w:szCs w:val="26"/>
          <w:lang w:eastAsia="ru-RU"/>
        </w:rPr>
        <w:t xml:space="preserve">На практиці структура та робота джерел даних ускладнює отримання інформації (зокрема, щоб отримати дані з деяких реєстрів потрібно скористатися електронним підписом для входу, потім подати запит; в результаті пошуку буде завантажено архів з особистою довідкою та електронним підписом; отриману інформацію ви зможете читати та аналізувати). Також потрібно враховувати їхню уповільнену роботу через періодичне перевантаження запитами. Якщо часу на це немає, перевірка може бути поверхневою, що є ризиком пропустити важливі дані. Система «YOUCONTROL» спростить завдання щодо перевірки учасника публічної закупівлі, оскільки враховує фактори, що впливають на законність участі у торгах (корупційні правопорушення юридичних та фізичних осіб; штрафи АМКУ; судові спори, пов'язані з посадовими особами; зв'язки з учасниками публічної закупівлі; банкрутство; відсутність </w:t>
      </w:r>
      <w:proofErr w:type="spellStart"/>
      <w:r w:rsidRPr="00C8343F">
        <w:rPr>
          <w:rFonts w:eastAsia="Times New Roman" w:cs="Calibri"/>
          <w:sz w:val="24"/>
          <w:szCs w:val="26"/>
          <w:lang w:eastAsia="ru-RU"/>
        </w:rPr>
        <w:t>бенефіціарів</w:t>
      </w:r>
      <w:proofErr w:type="spellEnd"/>
      <w:r w:rsidRPr="00C8343F">
        <w:rPr>
          <w:rFonts w:eastAsia="Times New Roman" w:cs="Calibri"/>
          <w:sz w:val="24"/>
          <w:szCs w:val="26"/>
          <w:lang w:eastAsia="ru-RU"/>
        </w:rPr>
        <w:t>; санкції та борги фізичних осіб).</w:t>
      </w:r>
    </w:p>
    <w:p w:rsidR="00C8343F" w:rsidRPr="00C8343F" w:rsidRDefault="00C8343F" w:rsidP="00C8343F">
      <w:pPr>
        <w:ind w:firstLine="708"/>
        <w:contextualSpacing/>
        <w:jc w:val="both"/>
        <w:rPr>
          <w:rFonts w:eastAsia="Times New Roman" w:cs="Calibri"/>
          <w:sz w:val="24"/>
          <w:szCs w:val="26"/>
          <w:lang w:eastAsia="ru-RU"/>
        </w:rPr>
      </w:pPr>
      <w:r w:rsidRPr="00C8343F">
        <w:rPr>
          <w:rFonts w:eastAsia="Times New Roman" w:cs="Calibri"/>
          <w:sz w:val="24"/>
          <w:szCs w:val="26"/>
          <w:lang w:eastAsia="ru-RU"/>
        </w:rPr>
        <w:t xml:space="preserve">Система «YOUCONTROL» – це онлайн сервіс перевірки суб’єктів господарювання України, яка фактично є «концентратором» інформації переважної більшості офіційних реєстрів. Унікальна технологія дозволяє за хвилину отримати актуальну зведену інформацію про будь-яку українську юридичну особу, фізичну особу-підприємця чи фізичну особу з більше ніж ста офіційних джерел. Вбудований функціонал моніторингу дозволяє щодня дізнаватися про зміни у публічних реєстрах стосовно того чи іншого суб’єкта, а завдяки інноваційному пошуку </w:t>
      </w:r>
      <w:proofErr w:type="spellStart"/>
      <w:r w:rsidRPr="00C8343F">
        <w:rPr>
          <w:rFonts w:eastAsia="Times New Roman" w:cs="Calibri"/>
          <w:sz w:val="24"/>
          <w:szCs w:val="26"/>
          <w:lang w:eastAsia="ru-RU"/>
        </w:rPr>
        <w:t>зв’язків</w:t>
      </w:r>
      <w:proofErr w:type="spellEnd"/>
      <w:r w:rsidRPr="00C8343F">
        <w:rPr>
          <w:rFonts w:eastAsia="Times New Roman" w:cs="Calibri"/>
          <w:sz w:val="24"/>
          <w:szCs w:val="26"/>
          <w:lang w:eastAsia="ru-RU"/>
        </w:rPr>
        <w:t xml:space="preserve"> можливо виявити пов’язаних осіб в графічному вигляді </w:t>
      </w:r>
      <w:r w:rsidRPr="00C8343F">
        <w:rPr>
          <w:rFonts w:eastAsia="Times New Roman" w:cs="Calibri"/>
          <w:sz w:val="24"/>
          <w:szCs w:val="26"/>
          <w:lang w:eastAsia="ru-RU"/>
        </w:rPr>
        <w:lastRenderedPageBreak/>
        <w:t>«павутини». Система «YOUCONTROL» має також багато інших корисних функцій та можливостей (експрес-аналіз, фінансовий аналіз, персонал, суди, дані про заборгованість тощо), які постійно вдосконалюються, так само як і кількість використовуваних інформаційних джерел.</w:t>
      </w:r>
    </w:p>
    <w:p w:rsidR="00C8343F" w:rsidRPr="00C8343F" w:rsidRDefault="00C8343F" w:rsidP="00C8343F">
      <w:pPr>
        <w:ind w:firstLine="708"/>
        <w:contextualSpacing/>
        <w:jc w:val="both"/>
        <w:rPr>
          <w:rFonts w:eastAsia="Times New Roman" w:cs="Calibri"/>
          <w:sz w:val="24"/>
          <w:szCs w:val="26"/>
          <w:lang w:eastAsia="ru-RU"/>
        </w:rPr>
      </w:pPr>
      <w:r w:rsidRPr="00C8343F">
        <w:rPr>
          <w:rFonts w:eastAsia="Times New Roman" w:cs="Calibri"/>
          <w:sz w:val="24"/>
          <w:szCs w:val="26"/>
          <w:lang w:eastAsia="ru-RU"/>
        </w:rPr>
        <w:t>Враховується і тип, і важливість чинників. Користувач може позначати різні фактори найважливішими, і система насамперед сигналізуватиме про їх наявність.</w:t>
      </w:r>
    </w:p>
    <w:p w:rsidR="00C8343F" w:rsidRPr="00C8343F" w:rsidRDefault="00C8343F" w:rsidP="00C8343F">
      <w:pPr>
        <w:ind w:firstLine="708"/>
        <w:contextualSpacing/>
        <w:jc w:val="both"/>
        <w:rPr>
          <w:rFonts w:eastAsia="Calibri" w:cs="Calibri"/>
          <w:sz w:val="24"/>
          <w:szCs w:val="26"/>
          <w:lang w:eastAsia="uk-UA"/>
        </w:rPr>
      </w:pPr>
      <w:r w:rsidRPr="00C8343F">
        <w:rPr>
          <w:rFonts w:eastAsia="Times New Roman" w:cs="Calibri"/>
          <w:sz w:val="24"/>
          <w:szCs w:val="26"/>
          <w:lang w:eastAsia="ru-RU"/>
        </w:rPr>
        <w:t xml:space="preserve">Крім того, беручи до уваги, що </w:t>
      </w:r>
      <w:r w:rsidRPr="00C8343F">
        <w:rPr>
          <w:rFonts w:eastAsia="Calibri" w:cs="Calibri"/>
          <w:sz w:val="24"/>
          <w:szCs w:val="26"/>
          <w:lang w:eastAsia="uk-UA"/>
        </w:rPr>
        <w:t>у період воєнного стану інформаційні, інформаційно-комунікаційні та електронні комунікаційні системи, публічні електронні реєстри можуть як зупиняти, обмежувати свою роботу, так і відкриватись, поновлюватись, замовники вимушені вимагати від учасників/переможців закупівель надавати відповідні інформаційні довідки.</w:t>
      </w:r>
    </w:p>
    <w:p w:rsidR="00C8343F" w:rsidRPr="00C8343F" w:rsidRDefault="00C8343F" w:rsidP="00C8343F">
      <w:pPr>
        <w:ind w:firstLine="708"/>
        <w:contextualSpacing/>
        <w:jc w:val="both"/>
        <w:rPr>
          <w:rFonts w:eastAsia="Times New Roman" w:cs="Calibri"/>
          <w:sz w:val="24"/>
          <w:szCs w:val="26"/>
          <w:lang w:eastAsia="ru-RU"/>
        </w:rPr>
      </w:pPr>
      <w:r w:rsidRPr="00C8343F">
        <w:rPr>
          <w:rFonts w:eastAsia="Calibri" w:cs="Calibri"/>
          <w:sz w:val="24"/>
          <w:szCs w:val="26"/>
          <w:lang w:eastAsia="uk-UA"/>
        </w:rPr>
        <w:t xml:space="preserve">Користування аналітичною онлайн-системою </w:t>
      </w:r>
      <w:proofErr w:type="spellStart"/>
      <w:r w:rsidRPr="00C8343F">
        <w:rPr>
          <w:rFonts w:eastAsia="Calibri" w:cs="Calibri"/>
          <w:sz w:val="24"/>
          <w:szCs w:val="26"/>
          <w:lang w:eastAsia="uk-UA"/>
        </w:rPr>
        <w:t>YouControl</w:t>
      </w:r>
      <w:proofErr w:type="spellEnd"/>
      <w:r w:rsidRPr="00C8343F">
        <w:rPr>
          <w:rFonts w:eastAsia="Calibri" w:cs="Calibri"/>
          <w:sz w:val="24"/>
          <w:szCs w:val="26"/>
          <w:lang w:eastAsia="uk-UA"/>
        </w:rPr>
        <w:t xml:space="preserve">, яка </w:t>
      </w:r>
      <w:r w:rsidRPr="00C8343F">
        <w:rPr>
          <w:rFonts w:eastAsia="Times New Roman" w:cs="Calibri"/>
          <w:sz w:val="24"/>
          <w:szCs w:val="26"/>
          <w:lang w:eastAsia="ru-RU"/>
        </w:rPr>
        <w:t xml:space="preserve">містить дані з понад 180 джерел, дозволяє, в свою чергу, перевірити інформацію по будь-якій компанії чи ФОП. </w:t>
      </w:r>
    </w:p>
    <w:p w:rsidR="00C8343F" w:rsidRPr="00C8343F" w:rsidRDefault="00C8343F" w:rsidP="00C8343F">
      <w:pPr>
        <w:ind w:firstLine="708"/>
        <w:contextualSpacing/>
        <w:jc w:val="both"/>
        <w:rPr>
          <w:rFonts w:eastAsia="Times New Roman" w:cs="Calibri"/>
          <w:sz w:val="24"/>
          <w:szCs w:val="26"/>
          <w:lang w:eastAsia="ru-RU"/>
        </w:rPr>
      </w:pPr>
      <w:r w:rsidRPr="00C8343F">
        <w:rPr>
          <w:rFonts w:eastAsia="Times New Roman" w:cs="Calibri"/>
          <w:sz w:val="24"/>
          <w:szCs w:val="26"/>
          <w:lang w:eastAsia="ru-RU"/>
        </w:rPr>
        <w:t>Адже лише за 1 хвилину користувач може отримати консолідовані дані із 10 відкритих джерел: дізнатися, хто підписант або засновник, розмір статутного капіталу, який поточний стан компаній, як часто підприємство фігурує в судових процесах, розраховується з бюджетом і багато іншого.</w:t>
      </w:r>
    </w:p>
    <w:p w:rsidR="00C8343F" w:rsidRPr="00C8343F" w:rsidRDefault="00C8343F" w:rsidP="00C8343F">
      <w:pPr>
        <w:ind w:firstLine="708"/>
        <w:contextualSpacing/>
        <w:jc w:val="both"/>
        <w:rPr>
          <w:rFonts w:eastAsia="Calibri" w:cs="Times New Roman"/>
          <w:sz w:val="24"/>
          <w:szCs w:val="26"/>
          <w:lang w:eastAsia="ru-RU"/>
        </w:rPr>
      </w:pPr>
      <w:r w:rsidRPr="00C8343F">
        <w:rPr>
          <w:rFonts w:eastAsia="Times New Roman" w:cs="Calibri"/>
          <w:sz w:val="24"/>
          <w:szCs w:val="26"/>
          <w:lang w:eastAsia="ru-RU"/>
        </w:rPr>
        <w:t xml:space="preserve">З огляду на викладене, з метою захисту від недобросовісних учасників, </w:t>
      </w:r>
      <w:r w:rsidRPr="00C8343F">
        <w:rPr>
          <w:rFonts w:eastAsia="Times New Roman" w:cs="Calibri"/>
          <w:sz w:val="24"/>
          <w:szCs w:val="26"/>
          <w:lang w:eastAsia="ru-RU"/>
        </w:rPr>
        <w:br/>
        <w:t xml:space="preserve">у Держмитслужби, як замовника, є нагальна необхідність в </w:t>
      </w:r>
      <w:r w:rsidRPr="00C8343F">
        <w:rPr>
          <w:rFonts w:eastAsia="Calibri" w:cs="Times New Roman"/>
          <w:sz w:val="24"/>
          <w:szCs w:val="26"/>
          <w:lang w:eastAsia="ru-RU"/>
        </w:rPr>
        <w:t>закупівлі Ліцензія на право використання Системи «YOUCONTROL». Комерційна назва «Повний доступ». Ліцензія на право використання Системи «YOUCONTROL». Комерційна назва «Повний доступ допоміжна») за кодом ДК 021:2015, 48770000-6 «Пакети службового програмного забезпечення загального призначення, для стиснення даних та друку» (48771000-3 Пакети службового програмного забезпечення загального призначення).</w:t>
      </w:r>
    </w:p>
    <w:p w:rsidR="00C8343F" w:rsidRPr="00C8343F" w:rsidRDefault="00C8343F" w:rsidP="00C8343F">
      <w:pPr>
        <w:ind w:firstLine="708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C8343F">
        <w:rPr>
          <w:rFonts w:eastAsia="Calibri" w:cs="Times New Roman"/>
          <w:sz w:val="24"/>
          <w:szCs w:val="24"/>
          <w:lang w:eastAsia="ru-RU"/>
        </w:rPr>
        <w:t>Водночас, як передбачено чинним законодавством, під час здійснення закупівель замовники повинні дотримуватися принципів здійснення публічних закупівель.</w:t>
      </w:r>
    </w:p>
    <w:p w:rsidR="00C8343F" w:rsidRPr="00C8343F" w:rsidRDefault="00C8343F" w:rsidP="00C8343F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b/>
          <w:sz w:val="24"/>
          <w:szCs w:val="26"/>
          <w:lang w:eastAsia="ru-RU"/>
        </w:rPr>
      </w:pPr>
      <w:r w:rsidRPr="00C8343F">
        <w:rPr>
          <w:rFonts w:eastAsia="Calibri" w:cs="Times New Roman"/>
          <w:sz w:val="24"/>
          <w:szCs w:val="26"/>
          <w:lang w:eastAsia="ru-RU"/>
        </w:rPr>
        <w:t>Отже,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та/або електронного каталогу для закупівлі това</w:t>
      </w:r>
      <w:bookmarkStart w:id="0" w:name="_GoBack"/>
      <w:bookmarkEnd w:id="0"/>
      <w:r w:rsidRPr="00C8343F">
        <w:rPr>
          <w:rFonts w:eastAsia="Calibri" w:cs="Times New Roman"/>
          <w:sz w:val="24"/>
          <w:szCs w:val="26"/>
          <w:lang w:eastAsia="ru-RU"/>
        </w:rPr>
        <w:t>ру та застосування під час здійснення Закупівлі, як виняток, підстави за підпунктом 5 пункту 13 Особливостей: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</w:t>
      </w:r>
      <w:r w:rsidRPr="00C8343F">
        <w:rPr>
          <w:rFonts w:eastAsia="Calibri" w:cs="Times New Roman"/>
          <w:b/>
          <w:sz w:val="24"/>
          <w:szCs w:val="26"/>
          <w:lang w:eastAsia="ru-RU"/>
        </w:rPr>
        <w:t xml:space="preserve"> у випадку необхідності захисту прав інтелектуальної власності. </w:t>
      </w:r>
    </w:p>
    <w:p w:rsidR="00C8343F" w:rsidRPr="00C8343F" w:rsidRDefault="00C8343F" w:rsidP="00C8343F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C8343F">
        <w:rPr>
          <w:rFonts w:eastAsia="Calibri" w:cs="Times New Roman"/>
          <w:sz w:val="24"/>
          <w:szCs w:val="26"/>
          <w:lang w:eastAsia="ru-RU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 w:rsidRPr="00C8343F">
        <w:rPr>
          <w:rFonts w:eastAsia="Calibri" w:cs="Times New Roman"/>
          <w:sz w:val="24"/>
          <w:szCs w:val="26"/>
          <w:vertAlign w:val="superscript"/>
          <w:lang w:eastAsia="ru-RU"/>
        </w:rPr>
        <w:t>8</w:t>
      </w:r>
      <w:r w:rsidRPr="00C8343F">
        <w:rPr>
          <w:rFonts w:eastAsia="Calibri" w:cs="Times New Roman"/>
          <w:sz w:val="24"/>
          <w:szCs w:val="26"/>
          <w:lang w:eastAsia="ru-RU"/>
        </w:rPr>
        <w:t xml:space="preserve"> розділу Х «Прикінцеві та перехідні положення» Закону.</w:t>
      </w:r>
    </w:p>
    <w:p w:rsidR="00C8343F" w:rsidRPr="00C8343F" w:rsidRDefault="00C8343F" w:rsidP="00C8343F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C8343F">
        <w:rPr>
          <w:rFonts w:eastAsia="Calibri" w:cs="Times New Roman"/>
          <w:sz w:val="24"/>
          <w:szCs w:val="26"/>
          <w:lang w:eastAsia="ru-RU"/>
        </w:rPr>
        <w:t>З огляду на викладене, рішення замовника про проведення закупівлі відповідає чинному законодавству.</w:t>
      </w:r>
    </w:p>
    <w:p w:rsidR="00C8343F" w:rsidRPr="00C8343F" w:rsidRDefault="00C8343F" w:rsidP="00C8343F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C8343F">
        <w:rPr>
          <w:rFonts w:eastAsia="Calibri" w:cs="Times New Roman"/>
          <w:sz w:val="24"/>
          <w:szCs w:val="26"/>
          <w:lang w:eastAsia="ru-RU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:rsidR="00C8343F" w:rsidRPr="00C8343F" w:rsidRDefault="00C8343F" w:rsidP="00C8343F">
      <w:pPr>
        <w:widowControl w:val="0"/>
        <w:numPr>
          <w:ilvl w:val="0"/>
          <w:numId w:val="29"/>
        </w:numPr>
        <w:suppressAutoHyphens/>
        <w:autoSpaceDN w:val="0"/>
        <w:spacing w:after="160" w:line="259" w:lineRule="auto"/>
        <w:ind w:left="0" w:firstLine="709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C8343F">
        <w:rPr>
          <w:rFonts w:eastAsia="Calibri" w:cs="Times New Roman"/>
          <w:sz w:val="24"/>
          <w:szCs w:val="26"/>
          <w:lang w:eastAsia="ru-RU"/>
        </w:rPr>
        <w:t>Свідоцтво про реєстрацію авторського права на твір від 10.06.2016 № 65971, виданий Державною службою інтелектуальної власності України.</w:t>
      </w:r>
    </w:p>
    <w:p w:rsidR="00C8343F" w:rsidRPr="00C8343F" w:rsidRDefault="00C8343F" w:rsidP="00C8343F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6"/>
          <w:lang w:eastAsia="uk-UA"/>
        </w:rPr>
      </w:pPr>
    </w:p>
    <w:p w:rsidR="00C8343F" w:rsidRPr="00C8343F" w:rsidRDefault="00C8343F" w:rsidP="00C834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8343F" w:rsidRPr="00C8343F" w:rsidRDefault="00C8343F" w:rsidP="00C834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8343F" w:rsidRPr="00564C9C" w:rsidRDefault="00C8343F" w:rsidP="00564C9C">
      <w:pPr>
        <w:tabs>
          <w:tab w:val="left" w:pos="284"/>
        </w:tabs>
        <w:spacing w:before="240" w:line="276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uk-UA"/>
        </w:rPr>
      </w:pPr>
    </w:p>
    <w:sectPr w:rsidR="00C8343F" w:rsidRPr="00564C9C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213AB"/>
    <w:multiLevelType w:val="hybridMultilevel"/>
    <w:tmpl w:val="469E8168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10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6" w15:restartNumberingAfterBreak="0">
    <w:nsid w:val="4F0714B3"/>
    <w:multiLevelType w:val="hybridMultilevel"/>
    <w:tmpl w:val="EAECE618"/>
    <w:lvl w:ilvl="0" w:tplc="5808B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6201"/>
    <w:multiLevelType w:val="hybridMultilevel"/>
    <w:tmpl w:val="CBCA7FE4"/>
    <w:lvl w:ilvl="0" w:tplc="042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4"/>
  </w:num>
  <w:num w:numId="7">
    <w:abstractNumId w:val="22"/>
  </w:num>
  <w:num w:numId="8">
    <w:abstractNumId w:val="13"/>
  </w:num>
  <w:num w:numId="9">
    <w:abstractNumId w:val="11"/>
  </w:num>
  <w:num w:numId="10">
    <w:abstractNumId w:val="27"/>
  </w:num>
  <w:num w:numId="11">
    <w:abstractNumId w:val="18"/>
  </w:num>
  <w:num w:numId="12">
    <w:abstractNumId w:val="9"/>
  </w:num>
  <w:num w:numId="13">
    <w:abstractNumId w:val="3"/>
  </w:num>
  <w:num w:numId="14">
    <w:abstractNumId w:val="24"/>
  </w:num>
  <w:num w:numId="15">
    <w:abstractNumId w:val="5"/>
  </w:num>
  <w:num w:numId="16">
    <w:abstractNumId w:val="14"/>
  </w:num>
  <w:num w:numId="17">
    <w:abstractNumId w:val="17"/>
  </w:num>
  <w:num w:numId="18">
    <w:abstractNumId w:val="2"/>
  </w:num>
  <w:num w:numId="19">
    <w:abstractNumId w:val="10"/>
  </w:num>
  <w:num w:numId="20">
    <w:abstractNumId w:val="23"/>
  </w:num>
  <w:num w:numId="21">
    <w:abstractNumId w:val="20"/>
  </w:num>
  <w:num w:numId="22">
    <w:abstractNumId w:val="21"/>
  </w:num>
  <w:num w:numId="23">
    <w:abstractNumId w:val="12"/>
  </w:num>
  <w:num w:numId="24">
    <w:abstractNumId w:val="7"/>
  </w:num>
  <w:num w:numId="25">
    <w:abstractNumId w:val="1"/>
  </w:num>
  <w:num w:numId="26">
    <w:abstractNumId w:val="25"/>
  </w:num>
  <w:num w:numId="27">
    <w:abstractNumId w:val="8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51C87"/>
    <w:rsid w:val="000C6E30"/>
    <w:rsid w:val="001A63D4"/>
    <w:rsid w:val="001C71D5"/>
    <w:rsid w:val="002F1F28"/>
    <w:rsid w:val="00464A76"/>
    <w:rsid w:val="004D33BD"/>
    <w:rsid w:val="005527AD"/>
    <w:rsid w:val="00564C9C"/>
    <w:rsid w:val="0071212D"/>
    <w:rsid w:val="007329CB"/>
    <w:rsid w:val="00733068"/>
    <w:rsid w:val="007E1CEF"/>
    <w:rsid w:val="0084248B"/>
    <w:rsid w:val="00860A1D"/>
    <w:rsid w:val="00984C2C"/>
    <w:rsid w:val="009B6ECD"/>
    <w:rsid w:val="009F366E"/>
    <w:rsid w:val="00A238BF"/>
    <w:rsid w:val="00B24970"/>
    <w:rsid w:val="00B96EF0"/>
    <w:rsid w:val="00C8343F"/>
    <w:rsid w:val="00CF2B91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3C29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  <w:style w:type="table" w:styleId="ad">
    <w:name w:val="Table Grid"/>
    <w:basedOn w:val="a1"/>
    <w:uiPriority w:val="39"/>
    <w:rsid w:val="00564C9C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178-2022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7236</Words>
  <Characters>4125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30</cp:revision>
  <cp:lastPrinted>2024-08-29T12:02:00Z</cp:lastPrinted>
  <dcterms:created xsi:type="dcterms:W3CDTF">2024-04-11T08:32:00Z</dcterms:created>
  <dcterms:modified xsi:type="dcterms:W3CDTF">2024-12-03T06:47:00Z</dcterms:modified>
</cp:coreProperties>
</file>