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10452" w14:textId="77777777" w:rsidR="00A22D61" w:rsidRDefault="00A22D61">
      <w:pPr>
        <w:ind w:firstLine="357"/>
        <w:jc w:val="center"/>
        <w:rPr>
          <w:b/>
          <w:bCs/>
        </w:rPr>
      </w:pPr>
    </w:p>
    <w:p w14:paraId="133F86A8" w14:textId="77777777" w:rsidR="00A22D61" w:rsidRDefault="000F5409">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071D8C73" w14:textId="77777777" w:rsidR="00A22D61" w:rsidRDefault="000F5409">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13A1D675" w14:textId="77777777" w:rsidR="00A22D61" w:rsidRDefault="00A22D61">
      <w:pPr>
        <w:contextualSpacing/>
        <w:jc w:val="center"/>
        <w:rPr>
          <w:b/>
          <w:sz w:val="28"/>
          <w:szCs w:val="28"/>
        </w:rPr>
      </w:pPr>
    </w:p>
    <w:p w14:paraId="42AD0AF3" w14:textId="77777777" w:rsidR="00A22D61" w:rsidRDefault="00A22D61">
      <w:pPr>
        <w:contextualSpacing/>
        <w:jc w:val="center"/>
        <w:rPr>
          <w:b/>
          <w:sz w:val="28"/>
          <w:szCs w:val="28"/>
        </w:rPr>
      </w:pPr>
    </w:p>
    <w:p w14:paraId="0389F691" w14:textId="671F50B9" w:rsidR="00A22D61" w:rsidRDefault="000F5409">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w:t>
      </w:r>
      <w:r w:rsidR="006E3D35">
        <w:rPr>
          <w:sz w:val="28"/>
          <w:szCs w:val="28"/>
        </w:rPr>
        <w:t xml:space="preserve"> </w:t>
      </w:r>
      <w:r>
        <w:rPr>
          <w:sz w:val="28"/>
          <w:szCs w:val="28"/>
        </w:rPr>
        <w:t xml:space="preserve">Харків, вул. </w:t>
      </w:r>
      <w:r w:rsidR="006E3D35">
        <w:rPr>
          <w:sz w:val="28"/>
          <w:szCs w:val="28"/>
        </w:rPr>
        <w:t>Миколаївська</w:t>
      </w:r>
      <w:r>
        <w:rPr>
          <w:sz w:val="28"/>
          <w:szCs w:val="28"/>
        </w:rPr>
        <w:t>, 16Б, 6100</w:t>
      </w:r>
      <w:r w:rsidR="006E3D35">
        <w:rPr>
          <w:sz w:val="28"/>
          <w:szCs w:val="28"/>
        </w:rPr>
        <w:t>5</w:t>
      </w:r>
      <w:r>
        <w:rPr>
          <w:sz w:val="28"/>
          <w:szCs w:val="28"/>
        </w:rPr>
        <w:t>; категорія замовника – орган державної  влади.</w:t>
      </w:r>
    </w:p>
    <w:p w14:paraId="5EC4D238" w14:textId="77777777" w:rsidR="00A22D61" w:rsidRDefault="00A22D61">
      <w:pPr>
        <w:contextualSpacing/>
        <w:jc w:val="both"/>
        <w:rPr>
          <w:sz w:val="28"/>
          <w:szCs w:val="28"/>
        </w:rPr>
      </w:pPr>
    </w:p>
    <w:p w14:paraId="51B18398" w14:textId="2A663862" w:rsidR="00F70691" w:rsidRDefault="000F5409">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F70691" w:rsidRPr="00F70691">
        <w:rPr>
          <w:sz w:val="28"/>
          <w:szCs w:val="28"/>
        </w:rPr>
        <w:t xml:space="preserve">Послуги </w:t>
      </w:r>
      <w:r w:rsidR="00557449" w:rsidRPr="00557449">
        <w:rPr>
          <w:sz w:val="28"/>
          <w:szCs w:val="28"/>
        </w:rPr>
        <w:t>по заправці та відновленню картриджів до багатофункціональних пристроїв</w:t>
      </w:r>
      <w:r w:rsidR="00F70691" w:rsidRPr="0064353C">
        <w:rPr>
          <w:sz w:val="28"/>
          <w:szCs w:val="28"/>
        </w:rPr>
        <w:t>, що відповідає коду ДК 021</w:t>
      </w:r>
      <w:r w:rsidR="00F70691" w:rsidRPr="00F70691">
        <w:rPr>
          <w:sz w:val="28"/>
          <w:szCs w:val="28"/>
        </w:rPr>
        <w:t>:</w:t>
      </w:r>
      <w:r w:rsidR="00F70691" w:rsidRPr="0064353C">
        <w:rPr>
          <w:sz w:val="28"/>
          <w:szCs w:val="28"/>
        </w:rPr>
        <w:t>2015:</w:t>
      </w:r>
      <w:r w:rsidR="00F70691" w:rsidRPr="00F70691">
        <w:rPr>
          <w:sz w:val="28"/>
          <w:szCs w:val="28"/>
        </w:rPr>
        <w:t xml:space="preserve"> </w:t>
      </w:r>
      <w:r w:rsidR="00557449" w:rsidRPr="00557449">
        <w:rPr>
          <w:sz w:val="28"/>
          <w:szCs w:val="28"/>
        </w:rPr>
        <w:t>50310000-1: Технічне обслуговування і ремонт офісної техніки</w:t>
      </w:r>
      <w:r w:rsidR="00F70691">
        <w:rPr>
          <w:sz w:val="28"/>
          <w:szCs w:val="28"/>
        </w:rPr>
        <w:t>.</w:t>
      </w:r>
    </w:p>
    <w:p w14:paraId="017223A5" w14:textId="77777777" w:rsidR="00A22D61" w:rsidRDefault="00A22D61">
      <w:pPr>
        <w:spacing w:after="160" w:line="259" w:lineRule="auto"/>
        <w:ind w:left="360"/>
        <w:contextualSpacing/>
        <w:jc w:val="both"/>
        <w:rPr>
          <w:sz w:val="28"/>
          <w:szCs w:val="28"/>
        </w:rPr>
      </w:pPr>
    </w:p>
    <w:p w14:paraId="3E00A775" w14:textId="451AFCED" w:rsidR="00F70691" w:rsidRDefault="000F5409" w:rsidP="00F70691">
      <w:pPr>
        <w:ind w:firstLine="709"/>
        <w:contextualSpacing/>
        <w:jc w:val="both"/>
        <w:rPr>
          <w:sz w:val="28"/>
          <w:szCs w:val="28"/>
        </w:rPr>
      </w:pPr>
      <w:r>
        <w:rPr>
          <w:sz w:val="28"/>
          <w:szCs w:val="28"/>
        </w:rPr>
        <w:t xml:space="preserve">3. Ідентифікатор закупівлі: </w:t>
      </w:r>
      <w:r w:rsidR="007069C7" w:rsidRPr="007069C7">
        <w:rPr>
          <w:sz w:val="28"/>
          <w:szCs w:val="28"/>
        </w:rPr>
        <w:t>UA-2024-12-03-009756-a</w:t>
      </w:r>
    </w:p>
    <w:p w14:paraId="461DA19E" w14:textId="77777777" w:rsidR="00F70691" w:rsidRDefault="00F70691" w:rsidP="00F70691">
      <w:pPr>
        <w:ind w:firstLine="709"/>
        <w:contextualSpacing/>
        <w:jc w:val="both"/>
        <w:rPr>
          <w:sz w:val="28"/>
          <w:szCs w:val="28"/>
        </w:rPr>
      </w:pPr>
    </w:p>
    <w:p w14:paraId="3156D009" w14:textId="2F3C7927" w:rsidR="00A22D61" w:rsidRDefault="000F5409" w:rsidP="00F70691">
      <w:pPr>
        <w:ind w:firstLine="709"/>
        <w:contextualSpacing/>
        <w:jc w:val="both"/>
        <w:rPr>
          <w:sz w:val="28"/>
          <w:szCs w:val="28"/>
        </w:rPr>
      </w:pPr>
      <w:r>
        <w:rPr>
          <w:sz w:val="28"/>
          <w:szCs w:val="28"/>
        </w:rPr>
        <w:t>4. Обґрунтування технічних та якісних характеристик предмета закупівлі:</w:t>
      </w:r>
    </w:p>
    <w:p w14:paraId="32C94308" w14:textId="77777777" w:rsidR="00DA6E01" w:rsidRDefault="000F5409" w:rsidP="00DA6E01">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r w:rsidR="0064353C">
        <w:rPr>
          <w:sz w:val="28"/>
          <w:szCs w:val="28"/>
        </w:rPr>
        <w:t>п</w:t>
      </w:r>
      <w:r w:rsidR="0064353C" w:rsidRPr="0064353C">
        <w:rPr>
          <w:sz w:val="28"/>
          <w:szCs w:val="28"/>
        </w:rPr>
        <w:t xml:space="preserve">ослуг </w:t>
      </w:r>
      <w:r w:rsidR="00557449" w:rsidRPr="00557449">
        <w:rPr>
          <w:sz w:val="28"/>
          <w:szCs w:val="28"/>
        </w:rPr>
        <w:t>по заправці та відновленню картриджів до багатофункціональних пристроїв</w:t>
      </w:r>
      <w:r>
        <w:rPr>
          <w:sz w:val="28"/>
          <w:szCs w:val="28"/>
        </w:rPr>
        <w:t>, необхідно забезпечити такі технічні та якісні характеристики предмета закупівлі:</w:t>
      </w:r>
    </w:p>
    <w:p w14:paraId="4A50321A" w14:textId="77777777" w:rsidR="00D84B33" w:rsidRDefault="00D84B33" w:rsidP="00DA6E01">
      <w:pPr>
        <w:widowControl w:val="0"/>
        <w:tabs>
          <w:tab w:val="center" w:pos="709"/>
          <w:tab w:val="right" w:pos="8306"/>
        </w:tabs>
        <w:ind w:firstLine="737"/>
        <w:contextualSpacing/>
        <w:jc w:val="both"/>
        <w:rPr>
          <w:sz w:val="28"/>
          <w:szCs w:val="28"/>
        </w:rPr>
      </w:pPr>
    </w:p>
    <w:p w14:paraId="1F666732" w14:textId="6E1D4C11" w:rsidR="00557449" w:rsidRPr="00557449" w:rsidRDefault="000F5409" w:rsidP="00DA6E01">
      <w:pPr>
        <w:widowControl w:val="0"/>
        <w:tabs>
          <w:tab w:val="center" w:pos="709"/>
          <w:tab w:val="right" w:pos="8306"/>
        </w:tabs>
        <w:ind w:firstLine="737"/>
        <w:contextualSpacing/>
        <w:jc w:val="both"/>
        <w:rPr>
          <w:sz w:val="28"/>
          <w:szCs w:val="28"/>
        </w:rPr>
      </w:pPr>
      <w:r>
        <w:rPr>
          <w:sz w:val="28"/>
          <w:szCs w:val="28"/>
        </w:rPr>
        <w:t>4.</w:t>
      </w:r>
      <w:r w:rsidRPr="000F5409">
        <w:rPr>
          <w:sz w:val="28"/>
          <w:szCs w:val="28"/>
        </w:rPr>
        <w:t>1.</w:t>
      </w:r>
      <w:r w:rsidR="00557449">
        <w:rPr>
          <w:sz w:val="28"/>
          <w:szCs w:val="28"/>
        </w:rPr>
        <w:t xml:space="preserve"> </w:t>
      </w:r>
      <w:r w:rsidR="00557449" w:rsidRPr="00557449">
        <w:rPr>
          <w:sz w:val="28"/>
          <w:szCs w:val="28"/>
        </w:rPr>
        <w:t>Перелік послуг по заправці та відновленню картриджів до багатофункціональних пристроїв (далі – Послуги):</w:t>
      </w:r>
    </w:p>
    <w:p w14:paraId="0E85EAF9" w14:textId="72E553A3" w:rsidR="00557449" w:rsidRPr="00557449" w:rsidRDefault="00557449" w:rsidP="00DA6E01">
      <w:pPr>
        <w:ind w:left="425" w:firstLine="284"/>
        <w:contextualSpacing/>
        <w:jc w:val="both"/>
        <w:rPr>
          <w:sz w:val="28"/>
          <w:szCs w:val="28"/>
        </w:rPr>
      </w:pPr>
      <w:r>
        <w:rPr>
          <w:sz w:val="28"/>
          <w:szCs w:val="28"/>
        </w:rPr>
        <w:t>4.1.1.</w:t>
      </w:r>
      <w:r w:rsidRPr="00557449">
        <w:rPr>
          <w:sz w:val="28"/>
          <w:szCs w:val="28"/>
        </w:rPr>
        <w:t xml:space="preserve"> Заправка картриджа включає:</w:t>
      </w:r>
    </w:p>
    <w:p w14:paraId="42940D47"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первинне тестування картриджа;</w:t>
      </w:r>
    </w:p>
    <w:p w14:paraId="44CE26D2"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повне розбирання картриджа та очистка від залишків тонера;</w:t>
      </w:r>
    </w:p>
    <w:p w14:paraId="33B431D0"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 xml:space="preserve">повну (об’єм визначається за моделлю картриджа) заправку тонером, якість якого відповідає технічним умовам виконання таких послуг; </w:t>
      </w:r>
    </w:p>
    <w:p w14:paraId="22E7C524"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заміну чипа;</w:t>
      </w:r>
    </w:p>
    <w:p w14:paraId="3082C1FB"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тестування заправленого картриджа.</w:t>
      </w:r>
    </w:p>
    <w:p w14:paraId="18365BBA" w14:textId="27E8485E" w:rsidR="00557449" w:rsidRPr="00557449" w:rsidRDefault="00557449" w:rsidP="00DA6E01">
      <w:pPr>
        <w:pStyle w:val="aff0"/>
        <w:ind w:left="785" w:hanging="76"/>
        <w:contextualSpacing/>
        <w:jc w:val="both"/>
        <w:rPr>
          <w:rFonts w:ascii="Times New Roman" w:hAnsi="Times New Roman" w:cs="Times New Roman"/>
          <w:sz w:val="28"/>
          <w:szCs w:val="28"/>
        </w:rPr>
      </w:pPr>
      <w:r>
        <w:rPr>
          <w:rFonts w:ascii="Times New Roman" w:hAnsi="Times New Roman" w:cs="Times New Roman"/>
          <w:sz w:val="28"/>
          <w:szCs w:val="28"/>
        </w:rPr>
        <w:t>4.1.2.</w:t>
      </w:r>
      <w:r w:rsidRPr="00557449">
        <w:rPr>
          <w:rFonts w:ascii="Times New Roman" w:hAnsi="Times New Roman" w:cs="Times New Roman"/>
          <w:sz w:val="28"/>
          <w:szCs w:val="28"/>
        </w:rPr>
        <w:t xml:space="preserve"> Відновлення драм картриджа включає:</w:t>
      </w:r>
    </w:p>
    <w:p w14:paraId="78699D79"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первинне тестування;</w:t>
      </w:r>
    </w:p>
    <w:p w14:paraId="06CB1FED"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повне розбирання та очистка від залишків тонера;</w:t>
      </w:r>
    </w:p>
    <w:p w14:paraId="3994690A"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заміна фоторецепторного барабану, ракельного ножа, валу первинного заряду, магнітного валу, дозуючого леза та інших зношених частин картриджа;</w:t>
      </w:r>
    </w:p>
    <w:p w14:paraId="0D8E8957"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lastRenderedPageBreak/>
        <w:t>нанесення змащувальних матеріалів для зменшення коефіцієнта тертя на очищувальне лезо;</w:t>
      </w:r>
    </w:p>
    <w:p w14:paraId="303786E1"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очищення та змащування струмопровідними мастилами електричних контактів;</w:t>
      </w:r>
    </w:p>
    <w:p w14:paraId="5D3E2906"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заміну чипа;</w:t>
      </w:r>
    </w:p>
    <w:p w14:paraId="34B8A95E"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тестування відновленого картриджа.</w:t>
      </w:r>
    </w:p>
    <w:p w14:paraId="1D1D8876" w14:textId="1AC6CCE6" w:rsidR="00557449" w:rsidRPr="00557449" w:rsidRDefault="00557449" w:rsidP="00DA6E01">
      <w:pPr>
        <w:widowControl w:val="0"/>
        <w:tabs>
          <w:tab w:val="left" w:pos="989"/>
        </w:tabs>
        <w:ind w:firstLine="709"/>
        <w:jc w:val="both"/>
        <w:rPr>
          <w:sz w:val="28"/>
          <w:szCs w:val="28"/>
        </w:rPr>
      </w:pPr>
    </w:p>
    <w:p w14:paraId="7F824A32"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 Технічні та якісні вимоги:</w:t>
      </w:r>
    </w:p>
    <w:p w14:paraId="5D407EF2"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2.1. Учасник повинен надати у складі своєї тендерної пропозиції завірену належним чином копію листа авторизації (або іншого документа) від виробника/імпортера витратних матеріалів (тонерів), в якому буде зазначено, що учасник є або виробником/імпортером витратних матеріалів (тонерів), або авторизованим партнером виробника/імпортера витратних матеріалів (тонерів), або офіційним представником виробника/імпортера витратних матеріалів (тонерів).</w:t>
      </w:r>
    </w:p>
    <w:p w14:paraId="67736368"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2.2. Заправка  картриджів  та відновлення драм картриджів здійснюється протягом не більше 24 годин з моменту замовлення Послуг та отримання від замовника картриджів на обслуговування.</w:t>
      </w:r>
    </w:p>
    <w:p w14:paraId="33F7D0AB"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2.3. Гарантія на заправку картриджів  та відновлення драм картриджів повинна діяти на увесь строк його використання впродовж ресурсу заправки.</w:t>
      </w:r>
    </w:p>
    <w:p w14:paraId="32C33986"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2.4. При забрудненні техніки або виході її з ладу через несправність картриджу або драм картриджу відповідальність несе учасник. Учасник повинен гарантувати ремонт багатофункціонального пристрою (далі – БФП) замовника за свій рахунок, якщо потреба ремонту була наслідком використання неякісно зібраного після відновлення картриджа. На період ремонту такого БФП учасник повинен надати замовнику свій справний БФП моделі Xerox WorkCentre 3335/3345.</w:t>
      </w:r>
    </w:p>
    <w:p w14:paraId="25BB32C1"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2.5. Учасник у разі неякісної заправки картриджів або неякісного відновлення драм картриджів повинен здійснити перезаправку картриджів або відновлення драм картриджів за свій рахунок і провести роботи по очищенню забруднень БФП, пов’язаних з осипанням картриджів.</w:t>
      </w:r>
    </w:p>
    <w:p w14:paraId="27C851AB"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2.6. Періодичність надання Послуг: постійно, по мірі необхідності (згідно з заявками замовника).</w:t>
      </w:r>
    </w:p>
    <w:p w14:paraId="2E39500F"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2.7. В процесі надання послуг на складі учасника повинен бути резерв матеріалів для надання Послуг. Усі матеріали повинні бути новими, оригінальними (або еквівалент).</w:t>
      </w:r>
    </w:p>
    <w:p w14:paraId="7914DB28"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 xml:space="preserve">2.8. Вартість Послуг повинна бути визначена учасником з урахуванням усіх податків та зборів, що сплачуються або мають бути сплачені відповідно до положень Податкового кодексу України. </w:t>
      </w:r>
    </w:p>
    <w:p w14:paraId="4C88DC22" w14:textId="23C083FE"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2.9. Явка Учасника для надання Послуг відбувається у термін, що не перевищує трьох годин по телефонному дзвінку Замовника в робочий час з 8:00 до 17:00 за адресою: 6100</w:t>
      </w:r>
      <w:r w:rsidR="006E3D35">
        <w:rPr>
          <w:sz w:val="28"/>
          <w:szCs w:val="28"/>
        </w:rPr>
        <w:t>5</w:t>
      </w:r>
      <w:r w:rsidR="00557449" w:rsidRPr="00557449">
        <w:rPr>
          <w:sz w:val="28"/>
          <w:szCs w:val="28"/>
        </w:rPr>
        <w:t>, м. Харків, вул</w:t>
      </w:r>
      <w:r w:rsidR="006E3D35">
        <w:rPr>
          <w:sz w:val="28"/>
          <w:szCs w:val="28"/>
        </w:rPr>
        <w:t>.</w:t>
      </w:r>
      <w:r w:rsidR="00557449" w:rsidRPr="00557449">
        <w:rPr>
          <w:sz w:val="28"/>
          <w:szCs w:val="28"/>
        </w:rPr>
        <w:t xml:space="preserve"> </w:t>
      </w:r>
      <w:r w:rsidR="006E3D35">
        <w:rPr>
          <w:sz w:val="28"/>
          <w:szCs w:val="28"/>
        </w:rPr>
        <w:t>Миколаївська</w:t>
      </w:r>
      <w:r w:rsidR="00557449" w:rsidRPr="00557449">
        <w:rPr>
          <w:sz w:val="28"/>
          <w:szCs w:val="28"/>
        </w:rPr>
        <w:t xml:space="preserve">, 16Б – адміністративний будинок Харківської митниці. У випадку неякісно заправлених картриджів або неякісного відновлення драм картриджів Замовник може відмовитись від їх прийняття, про що Сторонами складається двосторонній акт з переліком необхідних доопрацювань та строків їх виконання. Доопрацювання </w:t>
      </w:r>
      <w:r w:rsidR="00557449" w:rsidRPr="00557449">
        <w:rPr>
          <w:sz w:val="28"/>
          <w:szCs w:val="28"/>
        </w:rPr>
        <w:lastRenderedPageBreak/>
        <w:t>проводиться за рахунок Учасника.</w:t>
      </w:r>
    </w:p>
    <w:p w14:paraId="4AA1DF39"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2.10. Після здійснення заправки картриджів та відновлення драм картриджів учасник зобов’язаний провести технічну експертизу та тестування на БФП моделі Xerox WorkCentre 3335/3345. Якість витратних матеріалів визначається шляхом друку тестових сторінок у кількості 5 штук, що не повинні мати дефектів друку (сірий фон, регулярні сторонні сліди,</w:t>
      </w:r>
      <w:r w:rsidR="00557449" w:rsidRPr="00DA6E01">
        <w:rPr>
          <w:sz w:val="28"/>
          <w:szCs w:val="28"/>
        </w:rPr>
        <w:t xml:space="preserve"> різну інтенсивність кольору шрифту тощо). При роздрукуванні тестової сторінки, що містить повну (100%) заливку чорним кольором, не повинно спостерігатись нерівномірної щільності друку, смуг і повторюваних дефектів.</w:t>
      </w:r>
    </w:p>
    <w:p w14:paraId="1240C477" w14:textId="604ED081" w:rsidR="00DA6E01" w:rsidRPr="00DA6E01" w:rsidRDefault="00DA6E01" w:rsidP="00D84B33">
      <w:pPr>
        <w:widowControl w:val="0"/>
        <w:tabs>
          <w:tab w:val="left" w:pos="989"/>
        </w:tabs>
        <w:ind w:firstLine="709"/>
        <w:jc w:val="both"/>
        <w:rPr>
          <w:sz w:val="28"/>
          <w:szCs w:val="28"/>
        </w:rPr>
      </w:pPr>
      <w:r w:rsidRPr="00DA6E01">
        <w:rPr>
          <w:sz w:val="28"/>
          <w:szCs w:val="28"/>
        </w:rPr>
        <w:t>4.</w:t>
      </w:r>
      <w:r w:rsidR="00557449" w:rsidRPr="00DA6E01">
        <w:rPr>
          <w:sz w:val="28"/>
          <w:szCs w:val="28"/>
        </w:rPr>
        <w:t>2.11. Кожен картридж повинен бути упакований у герметичний світлонепроникний пакет з тестовими сторінками, мати на корпусі фірмову наклейку з відмітками про виконані послуги та підписом відповідального працівника Учасника.</w:t>
      </w:r>
    </w:p>
    <w:p w14:paraId="10D4E98E" w14:textId="6AF69F0E" w:rsidR="00557449" w:rsidRPr="00DA6E01" w:rsidRDefault="00DA6E01" w:rsidP="00DA6E01">
      <w:pPr>
        <w:widowControl w:val="0"/>
        <w:tabs>
          <w:tab w:val="left" w:pos="0"/>
        </w:tabs>
        <w:spacing w:after="120"/>
        <w:ind w:firstLine="709"/>
        <w:jc w:val="both"/>
        <w:rPr>
          <w:sz w:val="28"/>
          <w:szCs w:val="28"/>
        </w:rPr>
      </w:pPr>
      <w:r w:rsidRPr="00DA6E01">
        <w:rPr>
          <w:sz w:val="28"/>
          <w:szCs w:val="28"/>
        </w:rPr>
        <w:t>4.</w:t>
      </w:r>
      <w:r w:rsidR="00557449" w:rsidRPr="00DA6E01">
        <w:rPr>
          <w:sz w:val="28"/>
          <w:szCs w:val="28"/>
        </w:rPr>
        <w:t>2.12. Ресурс друку заправлених/відновлених картриджів, драм картриджів не повинен бути меншим ніж ресурс друку нових картриджів: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9"/>
        <w:gridCol w:w="1413"/>
        <w:gridCol w:w="2092"/>
      </w:tblGrid>
      <w:tr w:rsidR="007069C7" w:rsidRPr="004647C1" w14:paraId="0EC8DD63" w14:textId="77777777" w:rsidTr="00A37425">
        <w:trPr>
          <w:jc w:val="center"/>
        </w:trPr>
        <w:tc>
          <w:tcPr>
            <w:tcW w:w="6079" w:type="dxa"/>
          </w:tcPr>
          <w:p w14:paraId="2A27AAE4" w14:textId="77777777" w:rsidR="007069C7" w:rsidRDefault="007069C7" w:rsidP="00A37425">
            <w:pPr>
              <w:tabs>
                <w:tab w:val="left" w:pos="1395"/>
              </w:tabs>
              <w:jc w:val="center"/>
              <w:rPr>
                <w:b/>
                <w:lang w:eastAsia="ar-SA"/>
              </w:rPr>
            </w:pPr>
            <w:r>
              <w:rPr>
                <w:b/>
                <w:lang w:eastAsia="ar-SA"/>
              </w:rPr>
              <w:t xml:space="preserve">Найменування послуги </w:t>
            </w:r>
          </w:p>
          <w:p w14:paraId="4ED3B223" w14:textId="77777777" w:rsidR="007069C7" w:rsidRPr="00FD11CB" w:rsidRDefault="007069C7" w:rsidP="00A37425">
            <w:pPr>
              <w:tabs>
                <w:tab w:val="left" w:pos="1395"/>
              </w:tabs>
              <w:jc w:val="center"/>
              <w:rPr>
                <w:b/>
                <w:lang w:eastAsia="ar-SA"/>
              </w:rPr>
            </w:pPr>
            <w:r>
              <w:rPr>
                <w:b/>
                <w:lang w:eastAsia="ar-SA"/>
              </w:rPr>
              <w:t>та мо</w:t>
            </w:r>
            <w:r w:rsidRPr="00FD11CB">
              <w:rPr>
                <w:b/>
                <w:lang w:eastAsia="ar-SA"/>
              </w:rPr>
              <w:t xml:space="preserve">дель </w:t>
            </w:r>
            <w:r w:rsidRPr="00FD11CB">
              <w:rPr>
                <w:b/>
              </w:rPr>
              <w:t>багатофункц</w:t>
            </w:r>
            <w:r>
              <w:rPr>
                <w:b/>
              </w:rPr>
              <w:t>і</w:t>
            </w:r>
            <w:r w:rsidRPr="00FD11CB">
              <w:rPr>
                <w:b/>
              </w:rPr>
              <w:t>онального пристрою</w:t>
            </w:r>
          </w:p>
        </w:tc>
        <w:tc>
          <w:tcPr>
            <w:tcW w:w="1413" w:type="dxa"/>
          </w:tcPr>
          <w:p w14:paraId="2A65C33B" w14:textId="77777777" w:rsidR="007069C7" w:rsidRPr="004647C1" w:rsidRDefault="007069C7" w:rsidP="00A37425">
            <w:pPr>
              <w:tabs>
                <w:tab w:val="left" w:pos="1395"/>
              </w:tabs>
              <w:jc w:val="center"/>
              <w:rPr>
                <w:b/>
                <w:lang w:eastAsia="ar-SA"/>
              </w:rPr>
            </w:pPr>
            <w:r w:rsidRPr="004647C1">
              <w:rPr>
                <w:b/>
                <w:lang w:eastAsia="ar-SA"/>
              </w:rPr>
              <w:t>Виробник картриджа</w:t>
            </w:r>
          </w:p>
        </w:tc>
        <w:tc>
          <w:tcPr>
            <w:tcW w:w="2092" w:type="dxa"/>
          </w:tcPr>
          <w:p w14:paraId="1CFF7219" w14:textId="77777777" w:rsidR="007069C7" w:rsidRPr="004647C1" w:rsidRDefault="007069C7" w:rsidP="00A37425">
            <w:pPr>
              <w:tabs>
                <w:tab w:val="left" w:pos="1395"/>
              </w:tabs>
              <w:jc w:val="center"/>
              <w:rPr>
                <w:b/>
                <w:lang w:eastAsia="ar-SA"/>
              </w:rPr>
            </w:pPr>
            <w:r w:rsidRPr="004647C1">
              <w:rPr>
                <w:b/>
                <w:lang w:eastAsia="ar-SA"/>
              </w:rPr>
              <w:t>Кількість сторінок</w:t>
            </w:r>
          </w:p>
        </w:tc>
      </w:tr>
      <w:tr w:rsidR="007069C7" w:rsidRPr="004647C1" w14:paraId="0D572982" w14:textId="77777777" w:rsidTr="00A37425">
        <w:trPr>
          <w:jc w:val="center"/>
        </w:trPr>
        <w:tc>
          <w:tcPr>
            <w:tcW w:w="6079" w:type="dxa"/>
            <w:vAlign w:val="center"/>
          </w:tcPr>
          <w:p w14:paraId="4AE1CA33" w14:textId="77777777" w:rsidR="007069C7" w:rsidRPr="004647C1" w:rsidRDefault="007069C7" w:rsidP="00A37425">
            <w:pPr>
              <w:tabs>
                <w:tab w:val="left" w:pos="1395"/>
              </w:tabs>
              <w:rPr>
                <w:b/>
                <w:bCs/>
                <w:lang w:eastAsia="ar-SA"/>
              </w:rPr>
            </w:pPr>
            <w:r w:rsidRPr="00814239">
              <w:rPr>
                <w:color w:val="000000"/>
              </w:rPr>
              <w:t>Відновлення Драм картридж</w:t>
            </w:r>
            <w:r>
              <w:rPr>
                <w:color w:val="000000"/>
              </w:rPr>
              <w:t>а</w:t>
            </w:r>
            <w:r w:rsidRPr="00814239">
              <w:rPr>
                <w:color w:val="000000"/>
              </w:rPr>
              <w:t xml:space="preserve"> Xerox WorkCentre 3345</w:t>
            </w:r>
          </w:p>
        </w:tc>
        <w:tc>
          <w:tcPr>
            <w:tcW w:w="1413" w:type="dxa"/>
          </w:tcPr>
          <w:p w14:paraId="5316D8F3" w14:textId="77777777" w:rsidR="007069C7" w:rsidRPr="00FD11CB" w:rsidRDefault="007069C7" w:rsidP="00A37425">
            <w:pPr>
              <w:tabs>
                <w:tab w:val="left" w:pos="1395"/>
              </w:tabs>
              <w:rPr>
                <w:lang w:eastAsia="ar-SA"/>
              </w:rPr>
            </w:pPr>
            <w:r w:rsidRPr="004647C1">
              <w:rPr>
                <w:lang w:val="en-US" w:eastAsia="ar-SA"/>
              </w:rPr>
              <w:t>Xerox</w:t>
            </w:r>
          </w:p>
        </w:tc>
        <w:tc>
          <w:tcPr>
            <w:tcW w:w="2092" w:type="dxa"/>
          </w:tcPr>
          <w:p w14:paraId="2E8DB4A0" w14:textId="77777777" w:rsidR="007069C7" w:rsidRPr="00FD11CB" w:rsidRDefault="007069C7" w:rsidP="00A37425">
            <w:pPr>
              <w:tabs>
                <w:tab w:val="left" w:pos="1395"/>
              </w:tabs>
              <w:jc w:val="center"/>
              <w:rPr>
                <w:color w:val="FF0000"/>
                <w:lang w:eastAsia="ar-SA"/>
              </w:rPr>
            </w:pPr>
            <w:r>
              <w:rPr>
                <w:lang w:val="en-US" w:eastAsia="ar-SA"/>
              </w:rPr>
              <w:t>1</w:t>
            </w:r>
            <w:r w:rsidRPr="0099339C">
              <w:rPr>
                <w:lang w:val="en-US" w:eastAsia="ar-SA"/>
              </w:rPr>
              <w:t>8000</w:t>
            </w:r>
            <w:r>
              <w:rPr>
                <w:lang w:val="en-US" w:eastAsia="ar-SA"/>
              </w:rPr>
              <w:t>*</w:t>
            </w:r>
          </w:p>
        </w:tc>
      </w:tr>
      <w:tr w:rsidR="007069C7" w:rsidRPr="004647C1" w14:paraId="6FFDB7E0" w14:textId="77777777" w:rsidTr="00A37425">
        <w:trPr>
          <w:jc w:val="center"/>
        </w:trPr>
        <w:tc>
          <w:tcPr>
            <w:tcW w:w="6079" w:type="dxa"/>
            <w:vAlign w:val="center"/>
          </w:tcPr>
          <w:p w14:paraId="63E0095C" w14:textId="77777777" w:rsidR="007069C7" w:rsidRPr="004647C1" w:rsidRDefault="007069C7" w:rsidP="00A37425">
            <w:pPr>
              <w:tabs>
                <w:tab w:val="left" w:pos="1395"/>
              </w:tabs>
              <w:rPr>
                <w:b/>
                <w:bCs/>
                <w:lang w:eastAsia="ar-SA"/>
              </w:rPr>
            </w:pPr>
            <w:r w:rsidRPr="008A35BB">
              <w:rPr>
                <w:color w:val="000000"/>
              </w:rPr>
              <w:t xml:space="preserve">Заправка </w:t>
            </w:r>
            <w:r>
              <w:rPr>
                <w:color w:val="000000"/>
              </w:rPr>
              <w:t>тонер-</w:t>
            </w:r>
            <w:r w:rsidRPr="008A35BB">
              <w:rPr>
                <w:color w:val="000000"/>
              </w:rPr>
              <w:t>картриджа Xerox</w:t>
            </w:r>
            <w:r w:rsidRPr="00F716DC">
              <w:rPr>
                <w:color w:val="000000"/>
              </w:rPr>
              <w:t xml:space="preserve"> </w:t>
            </w:r>
            <w:r>
              <w:rPr>
                <w:color w:val="000000"/>
                <w:lang w:val="en-US"/>
              </w:rPr>
              <w:t>WorkCentre</w:t>
            </w:r>
            <w:r w:rsidRPr="008A35BB">
              <w:rPr>
                <w:color w:val="000000"/>
              </w:rPr>
              <w:t xml:space="preserve"> </w:t>
            </w:r>
            <w:r>
              <w:rPr>
                <w:color w:val="000000"/>
              </w:rPr>
              <w:t>3345</w:t>
            </w:r>
            <w:r w:rsidRPr="00B13CB6">
              <w:rPr>
                <w:color w:val="000000"/>
              </w:rPr>
              <w:t xml:space="preserve"> (106</w:t>
            </w:r>
            <w:r>
              <w:rPr>
                <w:color w:val="000000"/>
                <w:lang w:val="en-US"/>
              </w:rPr>
              <w:t>R</w:t>
            </w:r>
            <w:r w:rsidRPr="00B13CB6">
              <w:rPr>
                <w:color w:val="000000"/>
              </w:rPr>
              <w:t>03625)</w:t>
            </w:r>
          </w:p>
        </w:tc>
        <w:tc>
          <w:tcPr>
            <w:tcW w:w="1413" w:type="dxa"/>
          </w:tcPr>
          <w:p w14:paraId="24D403E9" w14:textId="77777777" w:rsidR="007069C7" w:rsidRPr="00FD11CB" w:rsidRDefault="007069C7" w:rsidP="00A37425">
            <w:pPr>
              <w:tabs>
                <w:tab w:val="left" w:pos="1395"/>
              </w:tabs>
              <w:rPr>
                <w:lang w:eastAsia="ar-SA"/>
              </w:rPr>
            </w:pPr>
            <w:r w:rsidRPr="004647C1">
              <w:rPr>
                <w:lang w:val="en-US" w:eastAsia="ar-SA"/>
              </w:rPr>
              <w:t>Xerox</w:t>
            </w:r>
          </w:p>
        </w:tc>
        <w:tc>
          <w:tcPr>
            <w:tcW w:w="2092" w:type="dxa"/>
          </w:tcPr>
          <w:p w14:paraId="74A6D44A" w14:textId="77777777" w:rsidR="007069C7" w:rsidRPr="0099339C" w:rsidRDefault="007069C7" w:rsidP="00A37425">
            <w:pPr>
              <w:tabs>
                <w:tab w:val="left" w:pos="1395"/>
              </w:tabs>
              <w:jc w:val="center"/>
              <w:rPr>
                <w:lang w:val="en-US" w:eastAsia="ar-SA"/>
              </w:rPr>
            </w:pPr>
            <w:r w:rsidRPr="0099339C">
              <w:rPr>
                <w:lang w:val="en-US" w:eastAsia="ar-SA"/>
              </w:rPr>
              <w:t>15000</w:t>
            </w:r>
          </w:p>
          <w:p w14:paraId="3F2B0222" w14:textId="77777777" w:rsidR="007069C7" w:rsidRPr="0099339C" w:rsidRDefault="007069C7" w:rsidP="00A37425">
            <w:pPr>
              <w:tabs>
                <w:tab w:val="left" w:pos="1395"/>
              </w:tabs>
              <w:jc w:val="center"/>
              <w:rPr>
                <w:lang w:eastAsia="ar-SA"/>
              </w:rPr>
            </w:pPr>
          </w:p>
        </w:tc>
      </w:tr>
    </w:tbl>
    <w:p w14:paraId="3E9D25B6" w14:textId="77777777" w:rsidR="00557449" w:rsidRDefault="00557449" w:rsidP="00557449">
      <w:pPr>
        <w:jc w:val="both"/>
        <w:rPr>
          <w:sz w:val="2"/>
          <w:szCs w:val="2"/>
          <w:lang w:eastAsia="ar-SA"/>
        </w:rPr>
      </w:pPr>
    </w:p>
    <w:p w14:paraId="33D4CFCE" w14:textId="77777777" w:rsidR="007069C7" w:rsidRPr="00A21B70" w:rsidRDefault="007069C7" w:rsidP="00557449">
      <w:pPr>
        <w:jc w:val="both"/>
        <w:rPr>
          <w:sz w:val="2"/>
          <w:szCs w:val="2"/>
          <w:lang w:eastAsia="ar-SA"/>
        </w:rPr>
      </w:pPr>
    </w:p>
    <w:p w14:paraId="453B85EE" w14:textId="77777777" w:rsidR="00557449" w:rsidRPr="00396842" w:rsidRDefault="00557449" w:rsidP="00557449">
      <w:r>
        <w:rPr>
          <w:sz w:val="28"/>
          <w:szCs w:val="28"/>
        </w:rPr>
        <w:t xml:space="preserve">           </w:t>
      </w:r>
      <w:r w:rsidRPr="00F716DC">
        <w:t xml:space="preserve">* </w:t>
      </w:r>
      <w:r w:rsidRPr="00396842">
        <w:t>ресурс картридж</w:t>
      </w:r>
      <w:r>
        <w:t>а</w:t>
      </w:r>
      <w:r w:rsidRPr="00396842">
        <w:t xml:space="preserve"> до наступного відновлення</w:t>
      </w:r>
    </w:p>
    <w:p w14:paraId="52CAFD0C" w14:textId="136A714D" w:rsidR="0064353C" w:rsidRPr="0064353C" w:rsidRDefault="0064353C" w:rsidP="00F70691">
      <w:pPr>
        <w:tabs>
          <w:tab w:val="left" w:pos="1276"/>
        </w:tabs>
        <w:spacing w:after="113"/>
        <w:ind w:firstLine="567"/>
        <w:jc w:val="both"/>
        <w:rPr>
          <w:sz w:val="28"/>
          <w:szCs w:val="28"/>
        </w:rPr>
      </w:pPr>
    </w:p>
    <w:p w14:paraId="014A76B1" w14:textId="77777777" w:rsidR="006E3D35" w:rsidRDefault="000F5409" w:rsidP="006E3D35">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w:t>
      </w:r>
      <w:r w:rsidR="006E3D35">
        <w:rPr>
          <w:sz w:val="28"/>
          <w:szCs w:val="28"/>
        </w:rPr>
        <w:t>4</w:t>
      </w:r>
      <w:r>
        <w:rPr>
          <w:sz w:val="28"/>
          <w:szCs w:val="28"/>
        </w:rPr>
        <w:t xml:space="preserve"> рік» відповідно до бюджетного запиту на 202</w:t>
      </w:r>
      <w:r w:rsidR="006E3D35">
        <w:rPr>
          <w:sz w:val="28"/>
          <w:szCs w:val="28"/>
        </w:rPr>
        <w:t>4</w:t>
      </w:r>
      <w:r>
        <w:rPr>
          <w:sz w:val="28"/>
          <w:szCs w:val="28"/>
        </w:rPr>
        <w:t xml:space="preserve"> рік.</w:t>
      </w:r>
    </w:p>
    <w:p w14:paraId="4FABF387" w14:textId="77777777" w:rsidR="006E3D35" w:rsidRDefault="006E3D35" w:rsidP="006E3D35">
      <w:pPr>
        <w:ind w:firstLine="709"/>
        <w:contextualSpacing/>
        <w:jc w:val="both"/>
        <w:rPr>
          <w:sz w:val="28"/>
          <w:szCs w:val="28"/>
        </w:rPr>
      </w:pPr>
    </w:p>
    <w:p w14:paraId="6EC667BE" w14:textId="32D4AD3F" w:rsidR="006E3D35" w:rsidRPr="006E3D35" w:rsidRDefault="000F5409" w:rsidP="006E3D35">
      <w:pPr>
        <w:ind w:firstLine="709"/>
        <w:contextualSpacing/>
        <w:jc w:val="both"/>
        <w:rPr>
          <w:sz w:val="28"/>
          <w:szCs w:val="28"/>
        </w:rPr>
      </w:pPr>
      <w:r>
        <w:rPr>
          <w:sz w:val="28"/>
          <w:szCs w:val="28"/>
        </w:rPr>
        <w:t xml:space="preserve">6. Очікувана вартість предмета закупівлі: </w:t>
      </w:r>
      <w:r w:rsidR="007069C7" w:rsidRPr="007069C7">
        <w:rPr>
          <w:sz w:val="28"/>
          <w:szCs w:val="28"/>
        </w:rPr>
        <w:t>13768,86 грн. (Тринадцять тисяч сімсот шістдесят вісім гривень 86 копійок) з ПДВ.</w:t>
      </w:r>
    </w:p>
    <w:p w14:paraId="49C62E3C" w14:textId="4C86D5C4" w:rsidR="00DA6E01" w:rsidRDefault="00DA6E01" w:rsidP="00DA6E01">
      <w:pPr>
        <w:ind w:firstLine="709"/>
        <w:contextualSpacing/>
        <w:jc w:val="both"/>
        <w:rPr>
          <w:sz w:val="28"/>
          <w:szCs w:val="28"/>
        </w:rPr>
      </w:pPr>
    </w:p>
    <w:p w14:paraId="7040064F" w14:textId="77777777" w:rsidR="00A22D61" w:rsidRDefault="000F5409">
      <w:pPr>
        <w:ind w:firstLine="709"/>
        <w:contextualSpacing/>
        <w:jc w:val="both"/>
        <w:rPr>
          <w:sz w:val="28"/>
          <w:szCs w:val="28"/>
        </w:rPr>
      </w:pPr>
      <w:r>
        <w:rPr>
          <w:sz w:val="28"/>
          <w:szCs w:val="28"/>
        </w:rPr>
        <w:t xml:space="preserve">7. Обґрунтування очікуваної вартості предмета закупівлі: </w:t>
      </w:r>
    </w:p>
    <w:p w14:paraId="3F6AD1C1" w14:textId="77777777" w:rsidR="00C1417D" w:rsidRDefault="00C1417D" w:rsidP="00C1417D">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14:paraId="00420AFC" w14:textId="77777777" w:rsidR="00A22D61" w:rsidRDefault="00A22D61">
      <w:pPr>
        <w:ind w:firstLine="709"/>
        <w:contextualSpacing/>
        <w:jc w:val="both"/>
        <w:rPr>
          <w:sz w:val="28"/>
          <w:szCs w:val="28"/>
        </w:rPr>
      </w:pPr>
    </w:p>
    <w:p w14:paraId="00AC125C" w14:textId="2BD27FC3" w:rsidR="00A22D61" w:rsidRDefault="000F5409">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закупівель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9F5FD0">
        <w:rPr>
          <w:sz w:val="28"/>
          <w:szCs w:val="28"/>
          <w:lang w:eastAsia="zh-CN"/>
        </w:rPr>
        <w:t xml:space="preserve"> та доповненнями</w:t>
      </w:r>
      <w:r>
        <w:rPr>
          <w:sz w:val="28"/>
          <w:szCs w:val="28"/>
          <w:lang w:eastAsia="zh-CN"/>
        </w:rPr>
        <w:t>)</w:t>
      </w:r>
      <w:r>
        <w:rPr>
          <w:sz w:val="28"/>
          <w:szCs w:val="28"/>
        </w:rPr>
        <w:t>.</w:t>
      </w:r>
    </w:p>
    <w:p w14:paraId="6448F85C" w14:textId="77777777" w:rsidR="00A22D61" w:rsidRDefault="00A22D61">
      <w:pPr>
        <w:ind w:firstLine="709"/>
        <w:contextualSpacing/>
        <w:jc w:val="both"/>
        <w:rPr>
          <w:sz w:val="28"/>
        </w:rPr>
      </w:pPr>
    </w:p>
    <w:sectPr w:rsidR="00A22D61" w:rsidSect="000F5409">
      <w:headerReference w:type="default" r:id="rId7"/>
      <w:pgSz w:w="11906" w:h="16838"/>
      <w:pgMar w:top="993"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EDC8" w14:textId="77777777" w:rsidR="000F5409" w:rsidRDefault="000F5409">
      <w:r>
        <w:separator/>
      </w:r>
    </w:p>
  </w:endnote>
  <w:endnote w:type="continuationSeparator" w:id="0">
    <w:p w14:paraId="25950316" w14:textId="77777777" w:rsidR="000F5409" w:rsidRDefault="000F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7EF5D" w14:textId="77777777" w:rsidR="000F5409" w:rsidRDefault="000F5409">
      <w:r>
        <w:separator/>
      </w:r>
    </w:p>
  </w:footnote>
  <w:footnote w:type="continuationSeparator" w:id="0">
    <w:p w14:paraId="14883461" w14:textId="77777777" w:rsidR="000F5409" w:rsidRDefault="000F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4CB53" w14:textId="77777777" w:rsidR="00A22D61" w:rsidRDefault="00A22D6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FF282D9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3.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C91C29"/>
    <w:multiLevelType w:val="multilevel"/>
    <w:tmpl w:val="05C6C25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6AE4008B"/>
    <w:multiLevelType w:val="multilevel"/>
    <w:tmpl w:val="F93E847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16cid:durableId="179785418">
    <w:abstractNumId w:val="2"/>
  </w:num>
  <w:num w:numId="2" w16cid:durableId="11128678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79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2D61"/>
    <w:rsid w:val="000F5409"/>
    <w:rsid w:val="00504AD2"/>
    <w:rsid w:val="00557449"/>
    <w:rsid w:val="0064353C"/>
    <w:rsid w:val="006E3D35"/>
    <w:rsid w:val="007069C7"/>
    <w:rsid w:val="007F07AA"/>
    <w:rsid w:val="0089508C"/>
    <w:rsid w:val="009F5FD0"/>
    <w:rsid w:val="00A22D61"/>
    <w:rsid w:val="00B72543"/>
    <w:rsid w:val="00C1417D"/>
    <w:rsid w:val="00D84B33"/>
    <w:rsid w:val="00DA6E01"/>
    <w:rsid w:val="00F706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6FFD"/>
  <w15:docId w15:val="{A07209FF-15C4-4932-AFBB-290C4895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aliases w:val="Number Bullets,lp1,List Paragraph1,AC List 01"/>
    <w:basedOn w:val="a"/>
    <w:link w:val="aff1"/>
    <w:qFormat/>
    <w:rsid w:val="000644C4"/>
    <w:pPr>
      <w:ind w:left="708"/>
    </w:pPr>
    <w:rPr>
      <w:rFonts w:ascii="Calibri" w:hAnsi="Calibri" w:cs="Calibri"/>
    </w:rPr>
  </w:style>
  <w:style w:type="paragraph" w:customStyle="1" w:styleId="aff2">
    <w:name w:val="Верхній і нижній колонтитули"/>
    <w:basedOn w:val="a"/>
    <w:qFormat/>
  </w:style>
  <w:style w:type="paragraph" w:styleId="aff3">
    <w:name w:val="footer"/>
    <w:basedOn w:val="a"/>
    <w:uiPriority w:val="99"/>
    <w:rsid w:val="005408B4"/>
    <w:pPr>
      <w:tabs>
        <w:tab w:val="center" w:pos="4819"/>
        <w:tab w:val="right" w:pos="9639"/>
      </w:tabs>
    </w:pPr>
  </w:style>
  <w:style w:type="paragraph" w:styleId="aff4">
    <w:name w:val="header"/>
    <w:basedOn w:val="a"/>
    <w:uiPriority w:val="99"/>
    <w:rsid w:val="005408B4"/>
    <w:pPr>
      <w:tabs>
        <w:tab w:val="center" w:pos="4819"/>
        <w:tab w:val="right" w:pos="9639"/>
      </w:tabs>
    </w:pPr>
  </w:style>
  <w:style w:type="paragraph" w:styleId="aff5">
    <w:name w:val="Normal (Web)"/>
    <w:basedOn w:val="a"/>
    <w:qFormat/>
    <w:rsid w:val="002E16AD"/>
    <w:pPr>
      <w:spacing w:beforeAutospacing="1" w:afterAutospacing="1"/>
    </w:pPr>
    <w:rPr>
      <w:lang w:eastAsia="uk-UA"/>
    </w:rPr>
  </w:style>
  <w:style w:type="paragraph" w:customStyle="1" w:styleId="aff6">
    <w:name w:val="Тире"/>
    <w:basedOn w:val="a"/>
    <w:uiPriority w:val="99"/>
    <w:qFormat/>
    <w:rsid w:val="00DA4DE2"/>
    <w:pPr>
      <w:spacing w:after="120"/>
      <w:ind w:left="284" w:hanging="284"/>
      <w:jc w:val="both"/>
    </w:pPr>
  </w:style>
  <w:style w:type="paragraph" w:customStyle="1" w:styleId="aff7">
    <w:name w:val="Номер)"/>
    <w:basedOn w:val="a"/>
    <w:uiPriority w:val="99"/>
    <w:qFormat/>
    <w:rsid w:val="0096471B"/>
    <w:pPr>
      <w:spacing w:after="120"/>
      <w:ind w:left="720" w:hanging="360"/>
      <w:jc w:val="both"/>
    </w:pPr>
  </w:style>
  <w:style w:type="paragraph" w:styleId="aff8">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9">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a">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b">
    <w:name w:val="No Spacing"/>
    <w:uiPriority w:val="99"/>
    <w:qFormat/>
    <w:rsid w:val="00F178A3"/>
    <w:rPr>
      <w:rFonts w:eastAsia="Times New Roman"/>
      <w:sz w:val="22"/>
      <w:szCs w:val="22"/>
      <w:lang w:val="ru-RU" w:eastAsia="ru-RU"/>
    </w:rPr>
  </w:style>
  <w:style w:type="paragraph" w:customStyle="1" w:styleId="19">
    <w:name w:val="Стиль1"/>
    <w:basedOn w:val="affb"/>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b"/>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b"/>
    <w:uiPriority w:val="99"/>
    <w:qFormat/>
    <w:rsid w:val="00846D2F"/>
    <w:rPr>
      <w:b/>
      <w:bCs/>
    </w:rPr>
  </w:style>
  <w:style w:type="paragraph" w:customStyle="1" w:styleId="45">
    <w:name w:val="Стиль4"/>
    <w:basedOn w:val="affb"/>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table" w:styleId="affc">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aff1">
    <w:name w:val="Абзац списку Знак"/>
    <w:aliases w:val="Number Bullets Знак,lp1 Знак,List Paragraph1 Знак,AC List 01 Знак"/>
    <w:link w:val="aff0"/>
    <w:locked/>
    <w:rsid w:val="000F5409"/>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4628</Words>
  <Characters>2639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dc:description/>
  <cp:lastModifiedBy>Наталія Вовченко Інтернет</cp:lastModifiedBy>
  <cp:revision>22</cp:revision>
  <cp:lastPrinted>2023-03-08T12:33:00Z</cp:lastPrinted>
  <dcterms:created xsi:type="dcterms:W3CDTF">2023-12-01T11:47:00Z</dcterms:created>
  <dcterms:modified xsi:type="dcterms:W3CDTF">2024-12-03T11:29:00Z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