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8663E2" w:rsidRDefault="006E0648" w:rsidP="006E0648">
      <w:pPr>
        <w:contextualSpacing/>
        <w:jc w:val="center"/>
        <w:rPr>
          <w:b/>
        </w:rPr>
      </w:pPr>
      <w:r w:rsidRPr="008663E2">
        <w:rPr>
          <w:b/>
        </w:rPr>
        <w:t>ОБҐРУНТУВАННЯ ТЕХНІЧНИХ ТА ЯКІСНИХ ХАРАКТЕРИСТИК ПРЕДМЕТА</w:t>
      </w:r>
      <w:r w:rsidRPr="008663E2">
        <w:rPr>
          <w:b/>
          <w:lang w:val="ru-RU"/>
        </w:rPr>
        <w:t xml:space="preserve"> </w:t>
      </w:r>
      <w:r w:rsidRPr="008663E2">
        <w:rPr>
          <w:b/>
        </w:rPr>
        <w:t>ЗАКУПІВЛІ, РОЗМІРУ БЮДЖЕТНОГО ПРИЗНАЧЕННЯ, ОЧІКУВАНОЇ</w:t>
      </w:r>
      <w:r w:rsidRPr="008663E2">
        <w:rPr>
          <w:b/>
          <w:lang w:val="ru-RU"/>
        </w:rPr>
        <w:t xml:space="preserve"> </w:t>
      </w:r>
      <w:r w:rsidRPr="008663E2">
        <w:rPr>
          <w:b/>
        </w:rPr>
        <w:t>ВАРТОСТІ ПРЕДМЕТА ЗАКУПІВЛІ</w:t>
      </w:r>
    </w:p>
    <w:p w14:paraId="483AE19F" w14:textId="77777777" w:rsidR="007919B9" w:rsidRPr="008663E2" w:rsidRDefault="006E0648" w:rsidP="006E0648">
      <w:pPr>
        <w:contextualSpacing/>
        <w:jc w:val="center"/>
        <w:rPr>
          <w:b/>
        </w:rPr>
      </w:pPr>
      <w:r w:rsidRPr="008663E2">
        <w:rPr>
          <w:b/>
        </w:rPr>
        <w:t xml:space="preserve">(відповідно до пункту </w:t>
      </w:r>
      <w:r w:rsidR="00673C61" w:rsidRPr="008663E2">
        <w:rPr>
          <w:b/>
        </w:rPr>
        <w:t>4</w:t>
      </w:r>
      <w:r w:rsidR="00673C61" w:rsidRPr="008663E2">
        <w:rPr>
          <w:b/>
          <w:vertAlign w:val="superscript"/>
        </w:rPr>
        <w:t>1</w:t>
      </w:r>
      <w:r w:rsidRPr="008663E2">
        <w:rPr>
          <w:b/>
        </w:rPr>
        <w:t xml:space="preserve"> постанови КМУ від 11.10.2016 № 710 </w:t>
      </w:r>
    </w:p>
    <w:p w14:paraId="15EE5A58" w14:textId="77777777" w:rsidR="006E0648" w:rsidRPr="008663E2" w:rsidRDefault="006E0648" w:rsidP="006E0648">
      <w:pPr>
        <w:contextualSpacing/>
        <w:jc w:val="center"/>
        <w:rPr>
          <w:b/>
        </w:rPr>
      </w:pPr>
      <w:r w:rsidRPr="008663E2">
        <w:rPr>
          <w:b/>
        </w:rPr>
        <w:t>«Про ефективне</w:t>
      </w:r>
      <w:r w:rsidR="007919B9" w:rsidRPr="008663E2">
        <w:rPr>
          <w:b/>
        </w:rPr>
        <w:t xml:space="preserve"> </w:t>
      </w:r>
      <w:r w:rsidRPr="008663E2">
        <w:rPr>
          <w:b/>
        </w:rPr>
        <w:t>використання державних коштів» (зі змінами))</w:t>
      </w:r>
    </w:p>
    <w:p w14:paraId="3942DFD4" w14:textId="77777777" w:rsidR="00C9359B" w:rsidRPr="008663E2" w:rsidRDefault="00C9359B" w:rsidP="007919B9">
      <w:pPr>
        <w:ind w:firstLine="567"/>
        <w:contextualSpacing/>
        <w:jc w:val="both"/>
        <w:rPr>
          <w:b/>
        </w:rPr>
      </w:pPr>
    </w:p>
    <w:p w14:paraId="23F02F84" w14:textId="7284BA81" w:rsidR="006E0648" w:rsidRPr="008663E2" w:rsidRDefault="006E0648" w:rsidP="007919B9">
      <w:pPr>
        <w:ind w:firstLine="567"/>
        <w:contextualSpacing/>
        <w:jc w:val="both"/>
      </w:pPr>
      <w:r w:rsidRPr="008663E2">
        <w:rPr>
          <w:b/>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8663E2">
        <w:t xml:space="preserve">Полтавська митниця; вул. </w:t>
      </w:r>
      <w:r w:rsidR="00DB3F4A" w:rsidRPr="00DB3F4A">
        <w:t>Героїв «Азову»</w:t>
      </w:r>
      <w:r w:rsidR="00452DA4" w:rsidRPr="008663E2">
        <w:t>, буд.</w:t>
      </w:r>
      <w:r w:rsidR="00BE601F" w:rsidRPr="008663E2">
        <w:t xml:space="preserve"> </w:t>
      </w:r>
      <w:r w:rsidR="00452DA4" w:rsidRPr="008663E2">
        <w:t>28, м. Полтава</w:t>
      </w:r>
      <w:r w:rsidR="00BE601F" w:rsidRPr="008663E2">
        <w:t>,</w:t>
      </w:r>
      <w:r w:rsidR="00452DA4" w:rsidRPr="008663E2">
        <w:t xml:space="preserve"> Полтавська область, 36022</w:t>
      </w:r>
      <w:r w:rsidRPr="008663E2">
        <w:t xml:space="preserve">; код ЄДРПОУ </w:t>
      </w:r>
      <w:r w:rsidR="006438F8" w:rsidRPr="008663E2">
        <w:t>ВП:</w:t>
      </w:r>
      <w:r w:rsidRPr="008663E2">
        <w:t xml:space="preserve"> 43</w:t>
      </w:r>
      <w:r w:rsidR="00BE601F" w:rsidRPr="008663E2">
        <w:t>9</w:t>
      </w:r>
      <w:r w:rsidRPr="008663E2">
        <w:t>9</w:t>
      </w:r>
      <w:r w:rsidR="00BE601F" w:rsidRPr="008663E2">
        <w:t>7576</w:t>
      </w:r>
      <w:r w:rsidRPr="008663E2">
        <w:t>; категорія замовника – орган державної  влади.</w:t>
      </w:r>
    </w:p>
    <w:p w14:paraId="505BA49B" w14:textId="77777777" w:rsidR="006E0648" w:rsidRPr="008663E2" w:rsidRDefault="006E0648" w:rsidP="007919B9">
      <w:pPr>
        <w:ind w:firstLine="567"/>
        <w:contextualSpacing/>
        <w:jc w:val="both"/>
      </w:pPr>
    </w:p>
    <w:p w14:paraId="402338AC" w14:textId="77777777" w:rsidR="00975318" w:rsidRPr="008663E2" w:rsidRDefault="006E0648" w:rsidP="00006754">
      <w:pPr>
        <w:ind w:firstLine="567"/>
        <w:contextualSpacing/>
        <w:jc w:val="both"/>
        <w:rPr>
          <w:b/>
        </w:rPr>
      </w:pPr>
      <w:r w:rsidRPr="008663E2">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52536F86" w14:textId="3A10C0BF" w:rsidR="00FC6410" w:rsidRDefault="00F53368" w:rsidP="006A2CC6">
      <w:pPr>
        <w:tabs>
          <w:tab w:val="left" w:pos="360"/>
          <w:tab w:val="left" w:pos="720"/>
        </w:tabs>
        <w:ind w:firstLine="567"/>
        <w:contextualSpacing/>
        <w:jc w:val="both"/>
      </w:pPr>
      <w:bookmarkStart w:id="0" w:name="_Hlk182914881"/>
      <w:r>
        <w:t xml:space="preserve">Послуги </w:t>
      </w:r>
      <w:bookmarkStart w:id="1" w:name="_Hlk183431903"/>
      <w:bookmarkEnd w:id="0"/>
      <w:r w:rsidR="00983099">
        <w:t>провайдерів</w:t>
      </w:r>
      <w:r w:rsidR="006A2CC6">
        <w:t xml:space="preserve"> </w:t>
      </w:r>
      <w:bookmarkEnd w:id="1"/>
      <w:r w:rsidR="006A2CC6">
        <w:t>ДК 021:2015 7</w:t>
      </w:r>
      <w:r w:rsidR="00983099">
        <w:t>241</w:t>
      </w:r>
      <w:r w:rsidR="006A2CC6">
        <w:t>0000-</w:t>
      </w:r>
      <w:r w:rsidR="00983099">
        <w:t>7</w:t>
      </w:r>
      <w:r w:rsidR="006A2CC6">
        <w:t xml:space="preserve"> «Послуги </w:t>
      </w:r>
      <w:r w:rsidR="00983099">
        <w:t>провайдерів</w:t>
      </w:r>
      <w:r>
        <w:t>»</w:t>
      </w:r>
    </w:p>
    <w:p w14:paraId="7057E43B" w14:textId="77777777" w:rsidR="00F53368" w:rsidRPr="008663E2" w:rsidRDefault="00F53368" w:rsidP="00F53368">
      <w:pPr>
        <w:tabs>
          <w:tab w:val="left" w:pos="360"/>
          <w:tab w:val="left" w:pos="720"/>
        </w:tabs>
        <w:ind w:firstLine="567"/>
        <w:contextualSpacing/>
        <w:jc w:val="both"/>
        <w:rPr>
          <w:rFonts w:eastAsia="Calibri"/>
        </w:rPr>
      </w:pPr>
    </w:p>
    <w:p w14:paraId="4C23AFC4" w14:textId="49C2D5EB" w:rsidR="00B661EC" w:rsidRPr="007F0A4E" w:rsidRDefault="007C2BD8" w:rsidP="00C908AE">
      <w:pPr>
        <w:tabs>
          <w:tab w:val="left" w:pos="360"/>
          <w:tab w:val="left" w:pos="567"/>
        </w:tabs>
        <w:contextualSpacing/>
        <w:jc w:val="both"/>
        <w:rPr>
          <w:b/>
        </w:rPr>
      </w:pPr>
      <w:r w:rsidRPr="008663E2">
        <w:rPr>
          <w:rFonts w:eastAsia="Calibri"/>
        </w:rPr>
        <w:t xml:space="preserve"> </w:t>
      </w:r>
      <w:r w:rsidR="00006754" w:rsidRPr="008663E2">
        <w:rPr>
          <w:rFonts w:eastAsia="Calibri"/>
        </w:rPr>
        <w:tab/>
      </w:r>
      <w:r w:rsidR="00006754" w:rsidRPr="008663E2">
        <w:rPr>
          <w:rFonts w:eastAsia="Calibri"/>
        </w:rPr>
        <w:tab/>
      </w:r>
      <w:r w:rsidR="006E0648" w:rsidRPr="008663E2">
        <w:rPr>
          <w:b/>
        </w:rPr>
        <w:t>3. Ідентифікатор закупів</w:t>
      </w:r>
      <w:r w:rsidRPr="008663E2">
        <w:rPr>
          <w:b/>
        </w:rPr>
        <w:t>л</w:t>
      </w:r>
      <w:r w:rsidR="00AF41A4" w:rsidRPr="008663E2">
        <w:rPr>
          <w:b/>
        </w:rPr>
        <w:t>і</w:t>
      </w:r>
      <w:r w:rsidR="006E0648" w:rsidRPr="007F0A4E">
        <w:rPr>
          <w:b/>
        </w:rPr>
        <w:t xml:space="preserve">: — </w:t>
      </w:r>
      <w:r w:rsidR="00147288" w:rsidRPr="007F0A4E">
        <w:rPr>
          <w:b/>
          <w:lang w:val="en-US"/>
        </w:rPr>
        <w:t>UA</w:t>
      </w:r>
      <w:r w:rsidR="00147288" w:rsidRPr="007F0A4E">
        <w:rPr>
          <w:b/>
        </w:rPr>
        <w:t>-2024-1</w:t>
      </w:r>
      <w:r w:rsidR="00983099">
        <w:rPr>
          <w:b/>
        </w:rPr>
        <w:t>2</w:t>
      </w:r>
      <w:r w:rsidR="00147288" w:rsidRPr="007F0A4E">
        <w:rPr>
          <w:b/>
        </w:rPr>
        <w:t>-</w:t>
      </w:r>
      <w:r w:rsidR="00983099">
        <w:rPr>
          <w:b/>
        </w:rPr>
        <w:t>18</w:t>
      </w:r>
      <w:r w:rsidR="00147288" w:rsidRPr="007F0A4E">
        <w:rPr>
          <w:b/>
        </w:rPr>
        <w:t>-0</w:t>
      </w:r>
      <w:r w:rsidR="00983099">
        <w:rPr>
          <w:b/>
        </w:rPr>
        <w:t>11906</w:t>
      </w:r>
      <w:r w:rsidR="00147288" w:rsidRPr="007F0A4E">
        <w:rPr>
          <w:b/>
        </w:rPr>
        <w:t>-</w:t>
      </w:r>
      <w:r w:rsidR="00147288" w:rsidRPr="007F0A4E">
        <w:rPr>
          <w:b/>
          <w:lang w:val="en-US"/>
        </w:rPr>
        <w:t>a</w:t>
      </w:r>
      <w:r w:rsidR="00147288" w:rsidRPr="007F0A4E">
        <w:rPr>
          <w:b/>
        </w:rPr>
        <w:t>.</w:t>
      </w:r>
    </w:p>
    <w:p w14:paraId="101ADDBA" w14:textId="77777777" w:rsidR="00C908AE" w:rsidRPr="007F0A4E" w:rsidRDefault="00C908AE" w:rsidP="00C908AE">
      <w:pPr>
        <w:tabs>
          <w:tab w:val="left" w:pos="360"/>
          <w:tab w:val="left" w:pos="567"/>
        </w:tabs>
        <w:contextualSpacing/>
        <w:jc w:val="both"/>
        <w:rPr>
          <w:b/>
        </w:rPr>
      </w:pPr>
    </w:p>
    <w:p w14:paraId="71B8F525" w14:textId="66C44F61" w:rsidR="00006754" w:rsidRDefault="00A0247F" w:rsidP="007919B9">
      <w:pPr>
        <w:ind w:firstLine="567"/>
        <w:contextualSpacing/>
        <w:jc w:val="both"/>
      </w:pPr>
      <w:r w:rsidRPr="008663E2">
        <w:rPr>
          <w:b/>
        </w:rPr>
        <w:t>4. Обґрунтування технічних та якісних характеристик предмета закупівлі:</w:t>
      </w:r>
      <w:r w:rsidRPr="008663E2">
        <w:t xml:space="preserve"> технічні та якісні характеристики предмета закупівлі визначені відповідно до потреб замовника</w:t>
      </w:r>
      <w:r w:rsidR="00006754" w:rsidRPr="008663E2">
        <w:t>.</w:t>
      </w:r>
    </w:p>
    <w:p w14:paraId="065E2A64" w14:textId="1B6A444E" w:rsidR="00FC6410" w:rsidRPr="00FC6410" w:rsidRDefault="00C67567" w:rsidP="00FC6410">
      <w:pPr>
        <w:ind w:firstLine="567"/>
        <w:contextualSpacing/>
        <w:jc w:val="both"/>
      </w:pPr>
      <w:r>
        <w:t xml:space="preserve">У зв’язку </w:t>
      </w:r>
      <w:r w:rsidR="00983099">
        <w:t>і</w:t>
      </w:r>
      <w:r>
        <w:t xml:space="preserve">з </w:t>
      </w:r>
      <w:r w:rsidR="00983099">
        <w:t xml:space="preserve">службовою </w:t>
      </w:r>
      <w:r w:rsidR="00983099" w:rsidRPr="00FC6410">
        <w:t>необхідніст</w:t>
      </w:r>
      <w:r w:rsidR="00983099">
        <w:t>ю</w:t>
      </w:r>
      <w:r w:rsidR="00983099" w:rsidRPr="00FC6410">
        <w:t xml:space="preserve"> </w:t>
      </w:r>
      <w:r w:rsidR="00FC6410" w:rsidRPr="00FC6410">
        <w:t xml:space="preserve">виникла </w:t>
      </w:r>
      <w:r w:rsidR="00983099">
        <w:t xml:space="preserve">потреба </w:t>
      </w:r>
      <w:r w:rsidR="00FC6410" w:rsidRPr="00FC6410">
        <w:t xml:space="preserve">у придбанні </w:t>
      </w:r>
      <w:r w:rsidR="009C09C1">
        <w:t>п</w:t>
      </w:r>
      <w:r w:rsidR="00F53368" w:rsidRPr="00F53368">
        <w:t xml:space="preserve">ослуг </w:t>
      </w:r>
      <w:r w:rsidR="00983099">
        <w:t>провайдерів на 2025 рік</w:t>
      </w:r>
      <w:r w:rsidR="00FC6410" w:rsidRPr="00FC6410">
        <w:t>.</w:t>
      </w:r>
    </w:p>
    <w:p w14:paraId="110BE73D" w14:textId="77777777" w:rsidR="00F02059" w:rsidRDefault="00F02059" w:rsidP="00327D16">
      <w:pPr>
        <w:widowControl w:val="0"/>
        <w:overflowPunct w:val="0"/>
        <w:autoSpaceDE w:val="0"/>
        <w:autoSpaceDN w:val="0"/>
        <w:adjustRightInd w:val="0"/>
        <w:ind w:firstLine="567"/>
        <w:jc w:val="both"/>
        <w:textAlignment w:val="baseline"/>
      </w:pPr>
    </w:p>
    <w:p w14:paraId="5DBA8131" w14:textId="77777777" w:rsidR="00FC6410" w:rsidRPr="006D12FC" w:rsidRDefault="00FC6410" w:rsidP="00FC6410">
      <w:pPr>
        <w:spacing w:after="120"/>
        <w:jc w:val="both"/>
        <w:rPr>
          <w:bCs/>
          <w:color w:val="000000"/>
        </w:rPr>
      </w:pPr>
      <w:r w:rsidRPr="006D12FC">
        <w:rPr>
          <w:b/>
          <w:color w:val="000000"/>
        </w:rPr>
        <w:t xml:space="preserve">Місце поставки товару: </w:t>
      </w:r>
      <w:r w:rsidRPr="006D12FC">
        <w:rPr>
          <w:bCs/>
          <w:color w:val="000000"/>
        </w:rPr>
        <w:t>36022, м. Полтава, вул. Героїв «Азову», буд. 28.</w:t>
      </w:r>
    </w:p>
    <w:p w14:paraId="56FB0AAB" w14:textId="0D5A783C" w:rsidR="00FC6410" w:rsidRPr="006D12FC" w:rsidRDefault="00FC6410" w:rsidP="00FC6410">
      <w:pPr>
        <w:spacing w:after="120"/>
        <w:jc w:val="both"/>
        <w:rPr>
          <w:bCs/>
          <w:color w:val="000000"/>
        </w:rPr>
      </w:pPr>
      <w:r w:rsidRPr="006D12FC">
        <w:rPr>
          <w:b/>
          <w:color w:val="000000"/>
        </w:rPr>
        <w:t xml:space="preserve">Строк </w:t>
      </w:r>
      <w:r w:rsidR="009C09C1">
        <w:rPr>
          <w:b/>
          <w:color w:val="000000"/>
        </w:rPr>
        <w:t>надання послуг</w:t>
      </w:r>
      <w:r w:rsidRPr="006D12FC">
        <w:rPr>
          <w:b/>
          <w:color w:val="000000"/>
        </w:rPr>
        <w:t xml:space="preserve">: </w:t>
      </w:r>
      <w:r w:rsidRPr="006D12FC">
        <w:rPr>
          <w:bCs/>
          <w:color w:val="000000"/>
        </w:rPr>
        <w:t xml:space="preserve">протягом </w:t>
      </w:r>
      <w:r w:rsidR="00983099">
        <w:rPr>
          <w:bCs/>
          <w:color w:val="000000"/>
        </w:rPr>
        <w:t>2025 року</w:t>
      </w:r>
      <w:r w:rsidRPr="006D12FC">
        <w:rPr>
          <w:bCs/>
          <w:color w:val="000000"/>
        </w:rPr>
        <w:t>.</w:t>
      </w:r>
    </w:p>
    <w:p w14:paraId="77D5221A" w14:textId="7F86E272" w:rsidR="00FC6410" w:rsidRDefault="00FC6410" w:rsidP="007944E2">
      <w:pPr>
        <w:widowControl w:val="0"/>
        <w:jc w:val="center"/>
        <w:rPr>
          <w:b/>
        </w:rPr>
      </w:pPr>
      <w:r>
        <w:rPr>
          <w:b/>
        </w:rPr>
        <w:t>Технічні, якісні та кількісні характеристики предмета закупівлі</w:t>
      </w:r>
      <w:r w:rsidR="00983099">
        <w:rPr>
          <w:b/>
        </w:rPr>
        <w:t>.</w:t>
      </w:r>
    </w:p>
    <w:p w14:paraId="1D32642B" w14:textId="77777777" w:rsidR="00983099" w:rsidRPr="00C80776" w:rsidRDefault="00983099" w:rsidP="00983099">
      <w:pPr>
        <w:pStyle w:val="28"/>
        <w:spacing w:after="60"/>
        <w:ind w:left="0" w:firstLine="567"/>
        <w:jc w:val="both"/>
        <w:rPr>
          <w:b/>
          <w:bCs/>
          <w:color w:val="000000"/>
          <w:lang w:eastAsia="uk-UA"/>
        </w:rPr>
      </w:pPr>
      <w:bookmarkStart w:id="2" w:name="bookmark1"/>
      <w:r w:rsidRPr="00C80776">
        <w:rPr>
          <w:b/>
          <w:bCs/>
          <w:color w:val="000000"/>
          <w:lang w:eastAsia="uk-UA"/>
        </w:rPr>
        <w:t>Загальні вимоги:</w:t>
      </w:r>
      <w:bookmarkEnd w:id="2"/>
    </w:p>
    <w:p w14:paraId="23606250"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Послуги повинні надаватися відповідно до чинних в Україні законодавчих та нормативних актів, зокрема:</w:t>
      </w:r>
    </w:p>
    <w:p w14:paraId="43A85B06"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 Закону України «Про електронні комунікації»;</w:t>
      </w:r>
    </w:p>
    <w:p w14:paraId="2CB8C55B"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 xml:space="preserve">– Указу Президента України «Про деякі заходи щодо захисту державних  інформаційних ресурсів у мережах передачі даних» від 24.09.2001 № 891; </w:t>
      </w:r>
    </w:p>
    <w:p w14:paraId="4777F52C"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 Порядку координації діяльності органів державної влади, органів місцевого самоврядування, військових формувань, підприємств, установ і організацій незалежно від форм власності з питань запобігання, виявлення та усунення наслідків несанкціонованих дій щодо державних інформаційних ресурсів в інформаційних, телекомунікаційних та інформаційно-телекомунікаційних системах, затвердженого наказом Адміністрації Держспецзв'язку від 10.06.2008 № 94, зареєстрованого в Міністерстві юстиції України 07 липня 2008 року за № 603/15294;</w:t>
      </w:r>
    </w:p>
    <w:p w14:paraId="60056CE7"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 Правил надання та отримання телекомунікаційних послуг, затверджених постановою Кабінету Міністрів України від 11.04.2012 № 295 та інших нормативно-правових актів України у сфері телекомунікацій.</w:t>
      </w:r>
    </w:p>
    <w:p w14:paraId="4B2FC48A"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Послуги повинні надаватися через Захищений вузол Інтернет доступу (далі – ЗВІД) Учасника, який повинен мати дійсний атестат відповідності системи захисту інформації та експертний висновок до нього.</w:t>
      </w:r>
    </w:p>
    <w:p w14:paraId="0293CE2F"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lastRenderedPageBreak/>
        <w:t>Учасник здійснює розміщення власного обладнання, необхідного для забезпечення надання Послуг на вузлах мережі Замовника, відповідно до паспортних характеристик обладнання, а Замовник забезпечує технічні умови для розміщення та експлуатації обладнання Учасника.</w:t>
      </w:r>
    </w:p>
    <w:p w14:paraId="7B5991B3"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Зона відповідальності Учасника при наданні Послуг – до інтерфейсу локального мережевого обладнання вузла Замовника. Відповідно все обладнання, включаючи кабелі до інтерфейсу локального мережевого обладнання вузлів мережі, надається, встановлюється та налагоджується Учасником в рамках надання Послуг, та не використовується для інших цілей.</w:t>
      </w:r>
    </w:p>
    <w:p w14:paraId="36377BD0"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Доступ до мережі Інтернет повинен здійснюватися за допомогою виділених цифрових каналів передачі даних.</w:t>
      </w:r>
    </w:p>
    <w:p w14:paraId="0995A7D1"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Учасник повинен мати систему централізованого моніторингу завантаженості, працездатності та інших якісних характеристик каналів передачі даних, та у разі необхідності надавати ці відомості Замовнику.</w:t>
      </w:r>
    </w:p>
    <w:p w14:paraId="4D53BAD1"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Учасник повинен забезпечити технічну підтримку каналів передачі даних, яка включає також постійний моніторинг каналу, діагностику причини відхилення від заданих технічних характеристик.</w:t>
      </w:r>
    </w:p>
    <w:p w14:paraId="2032BF1E"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У разі виникнення необхідності у Замовника різкого збільшення трафіку, Учасник повинен мати можливість тимчасово підвищити  пропускну здатність по каналу доступу до мереж та ресурсів поза точкою обміну українським трафіком до 1 Гбіт/с (симетричний канал) за адресами:</w:t>
      </w:r>
    </w:p>
    <w:p w14:paraId="55DA978C"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 м. Полтава, вул. Героїв «Азову», 28– 100 Мбіт/с;</w:t>
      </w:r>
    </w:p>
    <w:p w14:paraId="3DF4B1CC"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Інтерфейс для прийому послуг: GigabitEthernet (1000BASE-T або 1000BASE-X).</w:t>
      </w:r>
    </w:p>
    <w:p w14:paraId="6F55B413"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Послуги надаються в режимі 24/7/365.</w:t>
      </w:r>
    </w:p>
    <w:p w14:paraId="45EA3C5B"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Підключення до мережі Інтернет має бути забезпечено у синхронному симетричному режимі.</w:t>
      </w:r>
    </w:p>
    <w:p w14:paraId="461A47D9"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 xml:space="preserve">Підключення до мережі Інтернет у відповідності до всіх визначених технічних вимог має бути здійснено не пізніше 5 робочих днів після укладення Договору. </w:t>
      </w:r>
    </w:p>
    <w:p w14:paraId="79433309" w14:textId="77777777" w:rsidR="00983099" w:rsidRPr="00983099" w:rsidRDefault="00983099" w:rsidP="00983099">
      <w:pPr>
        <w:shd w:val="clear" w:color="auto" w:fill="FFFFFF"/>
        <w:tabs>
          <w:tab w:val="center" w:pos="426"/>
        </w:tabs>
        <w:spacing w:after="160" w:line="259" w:lineRule="auto"/>
        <w:jc w:val="both"/>
        <w:rPr>
          <w:rFonts w:eastAsia="Calibri"/>
          <w:bCs/>
        </w:rPr>
      </w:pPr>
    </w:p>
    <w:p w14:paraId="2209CCFE" w14:textId="77777777" w:rsidR="00983099" w:rsidRPr="00983099" w:rsidRDefault="00983099" w:rsidP="00983099">
      <w:pPr>
        <w:shd w:val="clear" w:color="auto" w:fill="FFFFFF"/>
        <w:tabs>
          <w:tab w:val="center" w:pos="426"/>
        </w:tabs>
        <w:spacing w:after="160" w:line="259" w:lineRule="auto"/>
        <w:jc w:val="both"/>
        <w:rPr>
          <w:rFonts w:eastAsia="Calibri"/>
          <w:b/>
        </w:rPr>
      </w:pPr>
      <w:r w:rsidRPr="00983099">
        <w:rPr>
          <w:rFonts w:eastAsia="Calibri"/>
          <w:b/>
        </w:rPr>
        <w:t>Вимоги до Захищеного вузла Інтернет доступу (далі  ЗВІД).</w:t>
      </w:r>
    </w:p>
    <w:p w14:paraId="6D09F553"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Доступ до глобальної мережі Інтернет повинен здійснюватися через власний ЗВІД Учасника із забезпеченням моніторингу та протидії інцидентам з інформаційної безпеки.</w:t>
      </w:r>
    </w:p>
    <w:p w14:paraId="3215752D"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ЗВІД повинен являти собою сукупність програмно-технічних засобів та організаційних заходів для забезпечення доступу органів державної влади до мережі Інтернет із захистом інформаційних ресурсів відповідно до вимог законодавства України.</w:t>
      </w:r>
    </w:p>
    <w:p w14:paraId="7C3D1B48"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Для забезпечення необхідного рівня захисту відкритої і технологічної інформації при її зберіганні, обробці, створенні та передачі ЗВІД повинен мати створену Комплексну систему захисту інформації з наступними функціями:</w:t>
      </w:r>
    </w:p>
    <w:p w14:paraId="4F4C947D"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w:t>
      </w:r>
      <w:r w:rsidRPr="00983099">
        <w:rPr>
          <w:rFonts w:eastAsia="Calibri"/>
          <w:bCs/>
        </w:rPr>
        <w:tab/>
        <w:t>застосування політики безпеки на комплексі програмно-технічних засобів ЗВІД;</w:t>
      </w:r>
    </w:p>
    <w:p w14:paraId="47E958A6"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w:t>
      </w:r>
      <w:r w:rsidRPr="00983099">
        <w:rPr>
          <w:rFonts w:eastAsia="Calibri"/>
          <w:bCs/>
        </w:rPr>
        <w:tab/>
        <w:t>управління засобами захисту та функціями захисту активного мережевого обладнання, що входять до складу ЗВІД;</w:t>
      </w:r>
    </w:p>
    <w:p w14:paraId="5DFABEF4"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lastRenderedPageBreak/>
        <w:t></w:t>
      </w:r>
      <w:r w:rsidRPr="00983099">
        <w:rPr>
          <w:rFonts w:eastAsia="Calibri"/>
          <w:bCs/>
        </w:rPr>
        <w:tab/>
        <w:t>безперервну експлуатацію та технічне обслуговування програмно-апаратних засобів захисту;</w:t>
      </w:r>
    </w:p>
    <w:p w14:paraId="777C90FF"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w:t>
      </w:r>
      <w:r w:rsidRPr="00983099">
        <w:rPr>
          <w:rFonts w:eastAsia="Calibri"/>
          <w:bCs/>
        </w:rPr>
        <w:tab/>
        <w:t>приймання повідомлень про інциденти щодо порушення безпеки від комплексу засобів захисту серверів ЗВІД;</w:t>
      </w:r>
    </w:p>
    <w:p w14:paraId="00D3783B"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w:t>
      </w:r>
      <w:r w:rsidRPr="00983099">
        <w:rPr>
          <w:rFonts w:eastAsia="Calibri"/>
          <w:bCs/>
        </w:rPr>
        <w:tab/>
        <w:t>приймання повідомлень про інциденти щодо порушення безпеки від активних мережевих засобів захисту та обладнання;</w:t>
      </w:r>
    </w:p>
    <w:p w14:paraId="4BB830FF"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w:t>
      </w:r>
      <w:r w:rsidRPr="00983099">
        <w:rPr>
          <w:rFonts w:eastAsia="Calibri"/>
          <w:bCs/>
        </w:rPr>
        <w:tab/>
        <w:t>визначення правил проходження інформаційних потоків між активним мережевим обладнанням;</w:t>
      </w:r>
    </w:p>
    <w:p w14:paraId="743C7E00"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w:t>
      </w:r>
      <w:r w:rsidRPr="00983099">
        <w:rPr>
          <w:rFonts w:eastAsia="Calibri"/>
          <w:bCs/>
        </w:rPr>
        <w:tab/>
        <w:t>захист програмно-апаратних засобів від несанкціонованого доступу;</w:t>
      </w:r>
    </w:p>
    <w:p w14:paraId="4FBAC9B9"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w:t>
      </w:r>
      <w:r w:rsidRPr="00983099">
        <w:rPr>
          <w:rFonts w:eastAsia="Calibri"/>
          <w:bCs/>
        </w:rPr>
        <w:tab/>
        <w:t xml:space="preserve">моніторинг та аналіз поточного стану безпеки ЗВІД; </w:t>
      </w:r>
    </w:p>
    <w:p w14:paraId="4BD9A4A2"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w:t>
      </w:r>
      <w:r w:rsidRPr="00983099">
        <w:rPr>
          <w:rFonts w:eastAsia="Calibri"/>
          <w:bCs/>
        </w:rPr>
        <w:tab/>
        <w:t>аналіз прийнятих повідомлень та сортування згідно з рангом загрози;</w:t>
      </w:r>
    </w:p>
    <w:p w14:paraId="778DC04D"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w:t>
      </w:r>
      <w:r w:rsidRPr="00983099">
        <w:rPr>
          <w:rFonts w:eastAsia="Calibri"/>
          <w:bCs/>
        </w:rPr>
        <w:tab/>
        <w:t>контроль за входом користувачів в систему та доступом до ресурсів;</w:t>
      </w:r>
    </w:p>
    <w:p w14:paraId="141747EE"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w:t>
      </w:r>
      <w:r w:rsidRPr="00983099">
        <w:rPr>
          <w:rFonts w:eastAsia="Calibri"/>
          <w:bCs/>
        </w:rPr>
        <w:tab/>
        <w:t>реєстрація дій користувачів по відношенню до ресурсів системи;</w:t>
      </w:r>
    </w:p>
    <w:p w14:paraId="5C2F35F9"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w:t>
      </w:r>
      <w:r w:rsidRPr="00983099">
        <w:rPr>
          <w:rFonts w:eastAsia="Calibri"/>
          <w:bCs/>
        </w:rPr>
        <w:tab/>
        <w:t>забезпечення цілісності інформаційних ресурсів центру (у тому числі антивірусний захист);</w:t>
      </w:r>
    </w:p>
    <w:p w14:paraId="1A367A5C"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w:t>
      </w:r>
      <w:r w:rsidRPr="00983099">
        <w:rPr>
          <w:rFonts w:eastAsia="Calibri"/>
          <w:bCs/>
        </w:rPr>
        <w:tab/>
        <w:t>перевірка цілісності та функціонування системи захисту;</w:t>
      </w:r>
    </w:p>
    <w:p w14:paraId="3700DA4A"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w:t>
      </w:r>
      <w:r w:rsidRPr="00983099">
        <w:rPr>
          <w:rFonts w:eastAsia="Calibri"/>
          <w:bCs/>
        </w:rPr>
        <w:tab/>
        <w:t>забезпечення необхідного рівня захисту технологічної інформації при її зберіганні, обробці, створенні та передачі за допомогою засобів системи, фізичний захист апаратно-програмних засобів ЗВІД від несанкціонованого доступу;</w:t>
      </w:r>
    </w:p>
    <w:p w14:paraId="36C30B92"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w:t>
      </w:r>
      <w:r w:rsidRPr="00983099">
        <w:rPr>
          <w:rFonts w:eastAsia="Calibri"/>
          <w:bCs/>
        </w:rPr>
        <w:tab/>
        <w:t>контроль за цілісністю функціонального програмного забезпечення та даних;</w:t>
      </w:r>
    </w:p>
    <w:p w14:paraId="739FACD6"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w:t>
      </w:r>
      <w:r w:rsidRPr="00983099">
        <w:rPr>
          <w:rFonts w:eastAsia="Calibri"/>
          <w:bCs/>
        </w:rPr>
        <w:tab/>
        <w:t>перевірка цілісності та коректності функціонування програмних та апаратних засобів захисту (самоконтроль);</w:t>
      </w:r>
    </w:p>
    <w:p w14:paraId="4FB694EA"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w:t>
      </w:r>
      <w:r w:rsidRPr="00983099">
        <w:rPr>
          <w:rFonts w:eastAsia="Calibri"/>
          <w:bCs/>
        </w:rPr>
        <w:tab/>
        <w:t>забезпечення можливості повернення обчислювальної мережі ЗВІД у відомий захищений стан після відмов або переривання обслуговування;</w:t>
      </w:r>
    </w:p>
    <w:p w14:paraId="2A7BA28F"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w:t>
      </w:r>
      <w:r w:rsidRPr="00983099">
        <w:rPr>
          <w:rFonts w:eastAsia="Calibri"/>
          <w:bCs/>
        </w:rPr>
        <w:tab/>
        <w:t>керування мережевими засобами захисту та функціями захисту активного мережевого обладнання, що входить до складу ЗВІД.</w:t>
      </w:r>
    </w:p>
    <w:p w14:paraId="641821B6" w14:textId="77777777" w:rsidR="00983099" w:rsidRPr="00983099" w:rsidRDefault="00983099" w:rsidP="00983099">
      <w:pPr>
        <w:shd w:val="clear" w:color="auto" w:fill="FFFFFF"/>
        <w:tabs>
          <w:tab w:val="center" w:pos="426"/>
        </w:tabs>
        <w:spacing w:after="160" w:line="259" w:lineRule="auto"/>
        <w:jc w:val="both"/>
        <w:rPr>
          <w:rFonts w:eastAsia="Calibri"/>
          <w:bCs/>
        </w:rPr>
      </w:pPr>
    </w:p>
    <w:p w14:paraId="0CD23430" w14:textId="77777777" w:rsidR="00983099" w:rsidRPr="00983099" w:rsidRDefault="00983099" w:rsidP="00983099">
      <w:pPr>
        <w:shd w:val="clear" w:color="auto" w:fill="FFFFFF"/>
        <w:tabs>
          <w:tab w:val="center" w:pos="426"/>
        </w:tabs>
        <w:spacing w:after="160" w:line="259" w:lineRule="auto"/>
        <w:jc w:val="both"/>
        <w:rPr>
          <w:rFonts w:eastAsia="Calibri"/>
          <w:b/>
        </w:rPr>
      </w:pPr>
      <w:r w:rsidRPr="00983099">
        <w:rPr>
          <w:rFonts w:eastAsia="Calibri"/>
          <w:b/>
        </w:rPr>
        <w:t xml:space="preserve">Вимоги до операторського та технічного супроводження. </w:t>
      </w:r>
    </w:p>
    <w:p w14:paraId="7728CC95"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 xml:space="preserve">Учасник повинен мати власний Центр технічної підтримки, що працює в режимі: 24х7х365 (цілодобово (00:00-24:00) з понеділка по неділю включно, 365 днів на рік) з можливістю звернення по телефону або через веб-сайт, або електронну пошту (e-mail); </w:t>
      </w:r>
    </w:p>
    <w:p w14:paraId="733D6457"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Учасник має надати Замовнику контактні дані (службовий, мобільний телефон, електронна пошта, тощо) фахівців (не менше двох) відповідальних за надання послуг (у тому числі невідкладних).</w:t>
      </w:r>
    </w:p>
    <w:p w14:paraId="153F5352"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Учасник повинен мати можливість надання послуги динамічного розподілу маршрутизації з різноманітним рівнем швидкості до внутрішніх ресурсів Виконавця, та світових ресурсів.</w:t>
      </w:r>
    </w:p>
    <w:p w14:paraId="396C320D"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Учасник повинен здійснювати постійний моніторинг телекомунікаційних каналів зв’язку, виявлення та усунення причин відхилення від заданих технічних характеристик.</w:t>
      </w:r>
    </w:p>
    <w:p w14:paraId="06C8FE95"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lastRenderedPageBreak/>
        <w:t xml:space="preserve">Учасник гарантує максимально допустимий час простою відсутності послуг на місяць – не більше 2 годин. </w:t>
      </w:r>
    </w:p>
    <w:p w14:paraId="67DB5625"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Учасник повинен мати можливість підтримки протоколу маршрутизації BGP.</w:t>
      </w:r>
    </w:p>
    <w:p w14:paraId="6484B63C"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Учасник повинен забезпечити усунення пошкоджень телекомунікаційної мережі та відновлення доступу до глобальної мережі у термін (далі - нормований час) відповідно до Показників якості послуг із передачі даних, доступу до Інтернету та їх рівнів, затверджених наказом Адміністрації Державної служби спеціального зв’язку та захисту інформації України від 28.12.2012 № 803 (зареєстрований в Міністерстві юстиції України 21.01.2013 за № 135/22667).</w:t>
      </w:r>
    </w:p>
    <w:p w14:paraId="5250121C"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Учасник має бути включений до Реєстру операторів, провайдерів телекомунікацій.</w:t>
      </w:r>
    </w:p>
    <w:p w14:paraId="2317EF4F" w14:textId="77777777" w:rsidR="00983099" w:rsidRPr="00983099" w:rsidRDefault="00983099" w:rsidP="00983099">
      <w:pPr>
        <w:shd w:val="clear" w:color="auto" w:fill="FFFFFF"/>
        <w:tabs>
          <w:tab w:val="center" w:pos="426"/>
        </w:tabs>
        <w:spacing w:after="160" w:line="259" w:lineRule="auto"/>
        <w:jc w:val="both"/>
        <w:rPr>
          <w:rFonts w:eastAsia="Calibri"/>
          <w:b/>
        </w:rPr>
      </w:pPr>
      <w:r w:rsidRPr="00983099">
        <w:rPr>
          <w:rFonts w:eastAsia="Calibri"/>
          <w:b/>
        </w:rPr>
        <w:t>Порядок та строки усунення інцидентів:</w:t>
      </w:r>
    </w:p>
    <w:p w14:paraId="68446CD5"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Відсутність надання послуг протягом 15 хвилин вважається інцидентом.</w:t>
      </w:r>
    </w:p>
    <w:p w14:paraId="24101DFE"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 xml:space="preserve">У випадку виникнення інцидентів Учасник негайно повідомляє про це представників технічної підтримки Замовника по телефону або за електронною поштою (e-mail). </w:t>
      </w:r>
    </w:p>
    <w:p w14:paraId="195B615B"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У випадку, якщо інцидент виявлено Замовником, останній негайно повідомляє про це представників технічної підтримки Учасника по телефону або через веб-сайт, або електронну пошту (e-mail).</w:t>
      </w:r>
    </w:p>
    <w:p w14:paraId="61B2AFDB"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Початком періоду інциденту вважається виявлена Учасником або Замовником відсутність надання Послуг.</w:t>
      </w:r>
    </w:p>
    <w:p w14:paraId="7625E31C" w14:textId="24F4962E"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Строк усунення інцидентів, які виникли з вини Учасника, не повинен перевищувати</w:t>
      </w:r>
      <w:r w:rsidR="0026395B">
        <w:rPr>
          <w:rFonts w:eastAsia="Calibri"/>
          <w:bCs/>
        </w:rPr>
        <w:t xml:space="preserve"> </w:t>
      </w:r>
      <w:r w:rsidRPr="00983099">
        <w:rPr>
          <w:rFonts w:eastAsia="Calibri"/>
          <w:bCs/>
        </w:rPr>
        <w:t>1-у годину.</w:t>
      </w:r>
    </w:p>
    <w:p w14:paraId="268691EC"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 xml:space="preserve">Порядок та строки усунення інцидентів, що виникли з вини Замовника, погоджується Сторонами в кожному окремому випадку. </w:t>
      </w:r>
    </w:p>
    <w:p w14:paraId="1398E22E"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Завершенням періоду інциденту вважається час фактичного усунення інциденту та відновлення Послуг.</w:t>
      </w:r>
    </w:p>
    <w:p w14:paraId="6B29B136"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Про факт відновлення Послуг Учасник повідомляє Замовника по телефону та дублює повідомлення через веб-сайт або електронну пошту (e-mail). На повідомлення Учасника Замовник підтверджує чи не підтверджує факт відновлення надання Послуг.</w:t>
      </w:r>
    </w:p>
    <w:p w14:paraId="39804ECB"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Замовник зобов’язується надавати персоналу Учасника доступ до приміщень Замовника, необхідного телекомунікаційного обладнання, що забезпечує надання Послуг та розміщене в приміщеннях Замовника, для виконання робіт по відновленню Послуг.</w:t>
      </w:r>
    </w:p>
    <w:p w14:paraId="0A5B8410"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Для отримання необхідного доступу до приміщень Замовника, Учасник надсилає листа з переліком працівників, які будуть виконувати роботи. Оператор пред’являє Замовнику службові посвідчення та направлення на виконання робіт.</w:t>
      </w:r>
    </w:p>
    <w:p w14:paraId="73E603C5" w14:textId="77777777" w:rsidR="00983099" w:rsidRPr="00983099" w:rsidRDefault="00983099" w:rsidP="00983099">
      <w:pPr>
        <w:shd w:val="clear" w:color="auto" w:fill="FFFFFF"/>
        <w:tabs>
          <w:tab w:val="center" w:pos="426"/>
        </w:tabs>
        <w:spacing w:after="160" w:line="259" w:lineRule="auto"/>
        <w:jc w:val="both"/>
        <w:rPr>
          <w:rFonts w:eastAsia="Calibri"/>
          <w:bCs/>
        </w:rPr>
      </w:pPr>
      <w:r w:rsidRPr="00983099">
        <w:rPr>
          <w:rFonts w:eastAsia="Calibri"/>
          <w:bCs/>
        </w:rPr>
        <w:t>Замовник має право отримувати інформацію про хід виконання робіт по відновленню Послуг шляхом звернення до представників технічної підтримки Учасника.</w:t>
      </w:r>
    </w:p>
    <w:p w14:paraId="6B186BDD" w14:textId="5A2B91FA" w:rsidR="009C09C1" w:rsidRDefault="00983099" w:rsidP="00983099">
      <w:pPr>
        <w:shd w:val="clear" w:color="auto" w:fill="FFFFFF"/>
        <w:tabs>
          <w:tab w:val="center" w:pos="426"/>
        </w:tabs>
        <w:spacing w:after="160" w:line="259" w:lineRule="auto"/>
        <w:jc w:val="both"/>
        <w:rPr>
          <w:rFonts w:eastAsia="Calibri"/>
          <w:bCs/>
        </w:rPr>
      </w:pPr>
      <w:r w:rsidRPr="00983099">
        <w:rPr>
          <w:rFonts w:eastAsia="Calibri"/>
          <w:bCs/>
        </w:rPr>
        <w:t>При надходженні заявки про інцидент (відсутність Послуги з вини Учасника), при перевищені строку відновлення надання Послуги понад нормований час, повинно бути припинене нарахування абонентської плати за період з моменту подачі заявки до відновлення надання Послуги у повному обсязі.</w:t>
      </w:r>
    </w:p>
    <w:p w14:paraId="04E9993C" w14:textId="096AAB11" w:rsidR="00A274EA" w:rsidRDefault="00A274EA">
      <w:pPr>
        <w:ind w:firstLine="426"/>
        <w:contextualSpacing/>
        <w:jc w:val="both"/>
      </w:pPr>
    </w:p>
    <w:p w14:paraId="639254B5" w14:textId="74AA1EFB" w:rsidR="007944E2" w:rsidRPr="007944E2" w:rsidRDefault="007944E2" w:rsidP="007944E2">
      <w:pPr>
        <w:ind w:firstLine="426"/>
        <w:contextualSpacing/>
        <w:jc w:val="both"/>
        <w:rPr>
          <w:b/>
        </w:rPr>
      </w:pPr>
      <w:r w:rsidRPr="007944E2">
        <w:rPr>
          <w:b/>
        </w:rPr>
        <w:lastRenderedPageBreak/>
        <w:t>5. Обґрунтування розміру бюджетного призначення:</w:t>
      </w:r>
      <w:r w:rsidRPr="007944E2">
        <w:t xml:space="preserve"> розмір бюджетного призначення для предмету закупівлі відповідає розрахунку видатків до кошторису Полтавської митниці на 202</w:t>
      </w:r>
      <w:r w:rsidR="00983099">
        <w:t>5</w:t>
      </w:r>
      <w:r w:rsidRPr="007944E2">
        <w:t xml:space="preserve"> рік зі змінами за КПКВК 3506010 «Керівництво та управління у сфері митної політики» з урахуванням середньої ринкової вартості аналогічних товарів.</w:t>
      </w:r>
    </w:p>
    <w:p w14:paraId="7FC890EC" w14:textId="77777777" w:rsidR="007944E2" w:rsidRPr="007944E2" w:rsidRDefault="007944E2" w:rsidP="007944E2">
      <w:pPr>
        <w:ind w:firstLine="426"/>
        <w:contextualSpacing/>
        <w:jc w:val="both"/>
      </w:pPr>
    </w:p>
    <w:p w14:paraId="4C6CB787" w14:textId="60A0BA16" w:rsidR="007944E2" w:rsidRPr="007944E2" w:rsidRDefault="007944E2" w:rsidP="007944E2">
      <w:pPr>
        <w:ind w:firstLine="426"/>
        <w:contextualSpacing/>
        <w:jc w:val="both"/>
      </w:pPr>
      <w:r w:rsidRPr="007944E2">
        <w:rPr>
          <w:b/>
        </w:rPr>
        <w:t xml:space="preserve">6. Очікувана вартість предмета закупівлі: </w:t>
      </w:r>
      <w:r w:rsidR="00983099">
        <w:t>50 4</w:t>
      </w:r>
      <w:r w:rsidR="006A2CC6">
        <w:t>0</w:t>
      </w:r>
      <w:r>
        <w:t>0,00</w:t>
      </w:r>
      <w:r w:rsidRPr="007944E2">
        <w:t xml:space="preserve"> грн. з ПДВ.</w:t>
      </w:r>
    </w:p>
    <w:p w14:paraId="01C99162" w14:textId="77777777" w:rsidR="007944E2" w:rsidRPr="007944E2" w:rsidRDefault="007944E2" w:rsidP="007944E2">
      <w:pPr>
        <w:ind w:firstLine="426"/>
        <w:contextualSpacing/>
        <w:jc w:val="both"/>
      </w:pPr>
      <w:r w:rsidRPr="007944E2">
        <w:t xml:space="preserve"> </w:t>
      </w:r>
    </w:p>
    <w:p w14:paraId="2CDB2030" w14:textId="77777777" w:rsidR="007944E2" w:rsidRPr="007944E2" w:rsidRDefault="007944E2" w:rsidP="007944E2">
      <w:pPr>
        <w:ind w:firstLine="426"/>
        <w:contextualSpacing/>
        <w:jc w:val="both"/>
      </w:pPr>
      <w:r w:rsidRPr="007944E2">
        <w:rPr>
          <w:b/>
        </w:rPr>
        <w:t>7. Обґрунтування очікуваної вартості предмета закупівлі:</w:t>
      </w:r>
      <w:r w:rsidRPr="007944E2">
        <w:t xml:space="preserve"> </w:t>
      </w:r>
    </w:p>
    <w:p w14:paraId="6D6EA522" w14:textId="77777777" w:rsidR="007944E2" w:rsidRPr="007944E2" w:rsidRDefault="007944E2" w:rsidP="007944E2">
      <w:pPr>
        <w:ind w:firstLine="426"/>
        <w:contextualSpacing/>
        <w:jc w:val="both"/>
      </w:pPr>
      <w:r w:rsidRPr="007944E2">
        <w:t>Наказом Міністерства розвитку економіки, торгівлі та сільського господарства України від 18.02.2020 № 275 затверджена примірна методика визначення очікуваної вартості предмету закупівлі, якою передбачені методи визначення очікуваної вартості предмету закупівлі.</w:t>
      </w:r>
    </w:p>
    <w:p w14:paraId="48C1F613" w14:textId="7795C2DE" w:rsidR="007944E2" w:rsidRPr="007944E2" w:rsidRDefault="007944E2" w:rsidP="007944E2">
      <w:pPr>
        <w:ind w:firstLine="426"/>
        <w:contextualSpacing/>
        <w:jc w:val="both"/>
      </w:pPr>
      <w:r w:rsidRPr="007944E2">
        <w:t xml:space="preserve">Так, очікувана вартість предмету закупівлі визначена на підставі аналізу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Відповідно до вказаної методики, очікувана вартість предмету закупівлі становить </w:t>
      </w:r>
      <w:r w:rsidR="00983099">
        <w:t>504</w:t>
      </w:r>
      <w:r w:rsidR="006A2CC6">
        <w:t>0</w:t>
      </w:r>
      <w:r w:rsidR="002D4224">
        <w:t>0,00</w:t>
      </w:r>
      <w:r w:rsidRPr="007944E2">
        <w:t xml:space="preserve"> грн. з ПДВ, що відповідає розміру бюджетного призначення.</w:t>
      </w:r>
    </w:p>
    <w:p w14:paraId="5409FFF5" w14:textId="55C76811" w:rsidR="007944E2" w:rsidRPr="007944E2" w:rsidRDefault="007944E2" w:rsidP="007944E2">
      <w:pPr>
        <w:ind w:firstLine="426"/>
        <w:contextualSpacing/>
        <w:jc w:val="both"/>
      </w:pPr>
      <w:r w:rsidRPr="007944E2">
        <w:rPr>
          <w:b/>
        </w:rPr>
        <w:t>8. Застосування виключення:</w:t>
      </w:r>
      <w:r w:rsidRPr="007944E2">
        <w:t xml:space="preserve"> не застосовується. Закупівля проводиться шляхом </w:t>
      </w:r>
      <w:r w:rsidR="00983099">
        <w:t>оголошення відкритих торгів (з особливостями)</w:t>
      </w:r>
      <w:r w:rsidRPr="007944E2">
        <w:t>.</w:t>
      </w:r>
    </w:p>
    <w:p w14:paraId="5C31550F" w14:textId="77777777" w:rsidR="007944E2" w:rsidRPr="008663E2" w:rsidRDefault="007944E2">
      <w:pPr>
        <w:ind w:firstLine="426"/>
        <w:contextualSpacing/>
        <w:jc w:val="both"/>
      </w:pPr>
    </w:p>
    <w:sectPr w:rsidR="007944E2" w:rsidRPr="008663E2" w:rsidSect="000D1683">
      <w:headerReference w:type="default" r:id="rId7"/>
      <w:headerReference w:type="first" r:id="rId8"/>
      <w:pgSz w:w="11906" w:h="16838" w:code="9"/>
      <w:pgMar w:top="1134" w:right="737" w:bottom="709"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FE28B" w14:textId="77777777" w:rsidR="00A63BB7" w:rsidRDefault="00A63BB7">
      <w:r>
        <w:separator/>
      </w:r>
    </w:p>
  </w:endnote>
  <w:endnote w:type="continuationSeparator" w:id="0">
    <w:p w14:paraId="32FF21D4" w14:textId="77777777" w:rsidR="00A63BB7" w:rsidRDefault="00A63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11828" w14:textId="77777777" w:rsidR="00A63BB7" w:rsidRDefault="00A63BB7">
      <w:r>
        <w:separator/>
      </w:r>
    </w:p>
  </w:footnote>
  <w:footnote w:type="continuationSeparator" w:id="0">
    <w:p w14:paraId="64D2C8DC" w14:textId="77777777" w:rsidR="00A63BB7" w:rsidRDefault="00A63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00000E"/>
    <w:multiLevelType w:val="multilevel"/>
    <w:tmpl w:val="0000000E"/>
    <w:name w:val="WW8Num14"/>
    <w:lvl w:ilvl="0">
      <w:start w:val="1"/>
      <w:numFmt w:val="decimal"/>
      <w:lvlText w:val="%1."/>
      <w:lvlJc w:val="left"/>
      <w:pPr>
        <w:tabs>
          <w:tab w:val="num" w:pos="0"/>
        </w:tabs>
        <w:ind w:left="720" w:hanging="360"/>
      </w:pPr>
      <w:rPr>
        <w:b/>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09F70CC8"/>
    <w:multiLevelType w:val="hybridMultilevel"/>
    <w:tmpl w:val="DA5A643C"/>
    <w:lvl w:ilvl="0" w:tplc="04220011">
      <w:start w:val="1"/>
      <w:numFmt w:val="decimal"/>
      <w:lvlText w:val="%1)"/>
      <w:lvlJc w:val="left"/>
      <w:pPr>
        <w:ind w:left="78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0D7860E3"/>
    <w:multiLevelType w:val="hybridMultilevel"/>
    <w:tmpl w:val="3F143F9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3"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5"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7"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4"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68698E"/>
    <w:multiLevelType w:val="hybridMultilevel"/>
    <w:tmpl w:val="289C577A"/>
    <w:lvl w:ilvl="0" w:tplc="55D0A1A0">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1"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2" w15:restartNumberingAfterBreak="0">
    <w:nsid w:val="70B75FA0"/>
    <w:multiLevelType w:val="hybridMultilevel"/>
    <w:tmpl w:val="6B563264"/>
    <w:lvl w:ilvl="0" w:tplc="C6960EFE">
      <w:start w:val="2"/>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3"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4" w15:restartNumberingAfterBreak="0">
    <w:nsid w:val="761A2235"/>
    <w:multiLevelType w:val="hybridMultilevel"/>
    <w:tmpl w:val="0FAA6BE2"/>
    <w:lvl w:ilvl="0" w:tplc="6812D5F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3"/>
  </w:num>
  <w:num w:numId="2">
    <w:abstractNumId w:val="11"/>
  </w:num>
  <w:num w:numId="3">
    <w:abstractNumId w:val="26"/>
  </w:num>
  <w:num w:numId="4">
    <w:abstractNumId w:val="14"/>
  </w:num>
  <w:num w:numId="5">
    <w:abstractNumId w:val="4"/>
  </w:num>
  <w:num w:numId="6">
    <w:abstractNumId w:val="3"/>
  </w:num>
  <w:num w:numId="7">
    <w:abstractNumId w:val="33"/>
  </w:num>
  <w:num w:numId="8">
    <w:abstractNumId w:val="7"/>
  </w:num>
  <w:num w:numId="9">
    <w:abstractNumId w:val="8"/>
  </w:num>
  <w:num w:numId="10">
    <w:abstractNumId w:val="15"/>
  </w:num>
  <w:num w:numId="11">
    <w:abstractNumId w:val="24"/>
  </w:num>
  <w:num w:numId="12">
    <w:abstractNumId w:val="22"/>
  </w:num>
  <w:num w:numId="13">
    <w:abstractNumId w:val="29"/>
  </w:num>
  <w:num w:numId="14">
    <w:abstractNumId w:val="18"/>
  </w:num>
  <w:num w:numId="15">
    <w:abstractNumId w:val="6"/>
  </w:num>
  <w:num w:numId="16">
    <w:abstractNumId w:val="5"/>
  </w:num>
  <w:num w:numId="17">
    <w:abstractNumId w:val="19"/>
  </w:num>
  <w:num w:numId="18">
    <w:abstractNumId w:val="30"/>
  </w:num>
  <w:num w:numId="19">
    <w:abstractNumId w:val="16"/>
  </w:num>
  <w:num w:numId="20">
    <w:abstractNumId w:val="3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7"/>
  </w:num>
  <w:num w:numId="24">
    <w:abstractNumId w:val="27"/>
  </w:num>
  <w:num w:numId="25">
    <w:abstractNumId w:val="20"/>
  </w:num>
  <w:num w:numId="26">
    <w:abstractNumId w:val="25"/>
  </w:num>
  <w:num w:numId="27">
    <w:abstractNumId w:val="21"/>
  </w:num>
  <w:num w:numId="28">
    <w:abstractNumId w:val="35"/>
  </w:num>
  <w:num w:numId="29">
    <w:abstractNumId w:val="12"/>
  </w:num>
  <w:num w:numId="30">
    <w:abstractNumId w:val="2"/>
  </w:num>
  <w:num w:numId="31">
    <w:abstractNumId w:val="32"/>
  </w:num>
  <w:num w:numId="32">
    <w:abstractNumId w:val="9"/>
  </w:num>
  <w:num w:numId="33">
    <w:abstractNumId w:val="10"/>
  </w:num>
  <w:num w:numId="34">
    <w:abstractNumId w:val="28"/>
  </w:num>
  <w:num w:numId="35">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683"/>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6A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288"/>
    <w:rsid w:val="00147BEB"/>
    <w:rsid w:val="00150BB6"/>
    <w:rsid w:val="001512C0"/>
    <w:rsid w:val="001541AC"/>
    <w:rsid w:val="00157447"/>
    <w:rsid w:val="00163339"/>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5A14"/>
    <w:rsid w:val="001A7845"/>
    <w:rsid w:val="001B394F"/>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105C"/>
    <w:rsid w:val="001E346A"/>
    <w:rsid w:val="001E5073"/>
    <w:rsid w:val="001E5917"/>
    <w:rsid w:val="001E74B4"/>
    <w:rsid w:val="001E7665"/>
    <w:rsid w:val="001E7A2E"/>
    <w:rsid w:val="001F5008"/>
    <w:rsid w:val="001F5B4C"/>
    <w:rsid w:val="001F5E43"/>
    <w:rsid w:val="002015DC"/>
    <w:rsid w:val="00203300"/>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395B"/>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3A18"/>
    <w:rsid w:val="002A629D"/>
    <w:rsid w:val="002B03C0"/>
    <w:rsid w:val="002B1B79"/>
    <w:rsid w:val="002B2705"/>
    <w:rsid w:val="002B28FF"/>
    <w:rsid w:val="002B30C3"/>
    <w:rsid w:val="002B3FEF"/>
    <w:rsid w:val="002B7710"/>
    <w:rsid w:val="002B7F3D"/>
    <w:rsid w:val="002C07BE"/>
    <w:rsid w:val="002C116C"/>
    <w:rsid w:val="002C250E"/>
    <w:rsid w:val="002C54F7"/>
    <w:rsid w:val="002C72E3"/>
    <w:rsid w:val="002D11D3"/>
    <w:rsid w:val="002D2FF8"/>
    <w:rsid w:val="002D4224"/>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27D16"/>
    <w:rsid w:val="003300B1"/>
    <w:rsid w:val="003316FB"/>
    <w:rsid w:val="00331E52"/>
    <w:rsid w:val="003328EC"/>
    <w:rsid w:val="0033340F"/>
    <w:rsid w:val="00333F0F"/>
    <w:rsid w:val="00335477"/>
    <w:rsid w:val="00335A9E"/>
    <w:rsid w:val="00336043"/>
    <w:rsid w:val="00336D47"/>
    <w:rsid w:val="00337766"/>
    <w:rsid w:val="003425EE"/>
    <w:rsid w:val="00342849"/>
    <w:rsid w:val="00343138"/>
    <w:rsid w:val="003453D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356E"/>
    <w:rsid w:val="003C4976"/>
    <w:rsid w:val="003C5D65"/>
    <w:rsid w:val="003C6828"/>
    <w:rsid w:val="003C69EC"/>
    <w:rsid w:val="003C739B"/>
    <w:rsid w:val="003D0500"/>
    <w:rsid w:val="003D15D3"/>
    <w:rsid w:val="003D1B1D"/>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0F2"/>
    <w:rsid w:val="00452BAE"/>
    <w:rsid w:val="00452DA4"/>
    <w:rsid w:val="004538BB"/>
    <w:rsid w:val="00453F41"/>
    <w:rsid w:val="00455B8A"/>
    <w:rsid w:val="00456BC1"/>
    <w:rsid w:val="00460286"/>
    <w:rsid w:val="00461B85"/>
    <w:rsid w:val="00462D7B"/>
    <w:rsid w:val="004721C1"/>
    <w:rsid w:val="00472486"/>
    <w:rsid w:val="0047382C"/>
    <w:rsid w:val="00474AA8"/>
    <w:rsid w:val="00476539"/>
    <w:rsid w:val="00476D3F"/>
    <w:rsid w:val="00477112"/>
    <w:rsid w:val="004777C4"/>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F4AB1"/>
    <w:rsid w:val="004F633E"/>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095C"/>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34EC"/>
    <w:rsid w:val="00613556"/>
    <w:rsid w:val="00614E01"/>
    <w:rsid w:val="0061676C"/>
    <w:rsid w:val="00616BFB"/>
    <w:rsid w:val="00617983"/>
    <w:rsid w:val="00620A74"/>
    <w:rsid w:val="00621913"/>
    <w:rsid w:val="00623A6C"/>
    <w:rsid w:val="00623E05"/>
    <w:rsid w:val="0062483A"/>
    <w:rsid w:val="0062550C"/>
    <w:rsid w:val="00627665"/>
    <w:rsid w:val="00631F4F"/>
    <w:rsid w:val="00634D8E"/>
    <w:rsid w:val="00634DC7"/>
    <w:rsid w:val="00635D21"/>
    <w:rsid w:val="00636EC8"/>
    <w:rsid w:val="00643801"/>
    <w:rsid w:val="006438F8"/>
    <w:rsid w:val="00643B57"/>
    <w:rsid w:val="00644D42"/>
    <w:rsid w:val="00644EAE"/>
    <w:rsid w:val="00650C24"/>
    <w:rsid w:val="00650D87"/>
    <w:rsid w:val="00652DC5"/>
    <w:rsid w:val="00654D47"/>
    <w:rsid w:val="00656491"/>
    <w:rsid w:val="00656C81"/>
    <w:rsid w:val="00657094"/>
    <w:rsid w:val="00660768"/>
    <w:rsid w:val="006607C5"/>
    <w:rsid w:val="006611D9"/>
    <w:rsid w:val="006630B1"/>
    <w:rsid w:val="006640C6"/>
    <w:rsid w:val="006645B2"/>
    <w:rsid w:val="00664B57"/>
    <w:rsid w:val="00664C1A"/>
    <w:rsid w:val="00664E0B"/>
    <w:rsid w:val="00665358"/>
    <w:rsid w:val="00667C49"/>
    <w:rsid w:val="006707E6"/>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2CC6"/>
    <w:rsid w:val="006A35A0"/>
    <w:rsid w:val="006A6ED3"/>
    <w:rsid w:val="006A756D"/>
    <w:rsid w:val="006A7D1A"/>
    <w:rsid w:val="006B03A9"/>
    <w:rsid w:val="006B046D"/>
    <w:rsid w:val="006B1019"/>
    <w:rsid w:val="006B1EF1"/>
    <w:rsid w:val="006B3FCE"/>
    <w:rsid w:val="006B5BF1"/>
    <w:rsid w:val="006C14DE"/>
    <w:rsid w:val="006C197E"/>
    <w:rsid w:val="006D01B8"/>
    <w:rsid w:val="006D7214"/>
    <w:rsid w:val="006D7CF1"/>
    <w:rsid w:val="006E0648"/>
    <w:rsid w:val="006E0E4E"/>
    <w:rsid w:val="006E452A"/>
    <w:rsid w:val="006E45B7"/>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944E2"/>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C77DA"/>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0A4E"/>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49B5"/>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63E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39FC"/>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75318"/>
    <w:rsid w:val="009829D1"/>
    <w:rsid w:val="00983099"/>
    <w:rsid w:val="00984D41"/>
    <w:rsid w:val="00991950"/>
    <w:rsid w:val="00995604"/>
    <w:rsid w:val="00995AFD"/>
    <w:rsid w:val="009968B0"/>
    <w:rsid w:val="009A043E"/>
    <w:rsid w:val="009A1D60"/>
    <w:rsid w:val="009A2434"/>
    <w:rsid w:val="009A244F"/>
    <w:rsid w:val="009A48EA"/>
    <w:rsid w:val="009A4ADC"/>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9C1"/>
    <w:rsid w:val="009C0F84"/>
    <w:rsid w:val="009C2123"/>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6843"/>
    <w:rsid w:val="009E7569"/>
    <w:rsid w:val="009E7E44"/>
    <w:rsid w:val="009F0D2B"/>
    <w:rsid w:val="00A0247F"/>
    <w:rsid w:val="00A03ABC"/>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5E84"/>
    <w:rsid w:val="00A46504"/>
    <w:rsid w:val="00A47E66"/>
    <w:rsid w:val="00A5514B"/>
    <w:rsid w:val="00A63073"/>
    <w:rsid w:val="00A63A70"/>
    <w:rsid w:val="00A63BB7"/>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77A65"/>
    <w:rsid w:val="00B82055"/>
    <w:rsid w:val="00B83155"/>
    <w:rsid w:val="00B83909"/>
    <w:rsid w:val="00B879D1"/>
    <w:rsid w:val="00B91371"/>
    <w:rsid w:val="00B916E6"/>
    <w:rsid w:val="00B91DC2"/>
    <w:rsid w:val="00B93864"/>
    <w:rsid w:val="00B96C05"/>
    <w:rsid w:val="00BA179F"/>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B21"/>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567"/>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482"/>
    <w:rsid w:val="00D06541"/>
    <w:rsid w:val="00D067E2"/>
    <w:rsid w:val="00D07235"/>
    <w:rsid w:val="00D10807"/>
    <w:rsid w:val="00D13EE1"/>
    <w:rsid w:val="00D16928"/>
    <w:rsid w:val="00D204F9"/>
    <w:rsid w:val="00D246E0"/>
    <w:rsid w:val="00D248E7"/>
    <w:rsid w:val="00D269E2"/>
    <w:rsid w:val="00D2769A"/>
    <w:rsid w:val="00D30352"/>
    <w:rsid w:val="00D33B3C"/>
    <w:rsid w:val="00D34304"/>
    <w:rsid w:val="00D34E5D"/>
    <w:rsid w:val="00D35959"/>
    <w:rsid w:val="00D35B08"/>
    <w:rsid w:val="00D35B44"/>
    <w:rsid w:val="00D361C7"/>
    <w:rsid w:val="00D36585"/>
    <w:rsid w:val="00D406A7"/>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3F4A"/>
    <w:rsid w:val="00DB65E5"/>
    <w:rsid w:val="00DB7598"/>
    <w:rsid w:val="00DC011D"/>
    <w:rsid w:val="00DC0AE1"/>
    <w:rsid w:val="00DC2AA5"/>
    <w:rsid w:val="00DC2F2E"/>
    <w:rsid w:val="00DC31A5"/>
    <w:rsid w:val="00DC4383"/>
    <w:rsid w:val="00DC5925"/>
    <w:rsid w:val="00DC7536"/>
    <w:rsid w:val="00DC7629"/>
    <w:rsid w:val="00DD151E"/>
    <w:rsid w:val="00DD5674"/>
    <w:rsid w:val="00DD5735"/>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A6F8A"/>
    <w:rsid w:val="00EB0A9F"/>
    <w:rsid w:val="00EB4193"/>
    <w:rsid w:val="00EB5A17"/>
    <w:rsid w:val="00EC0568"/>
    <w:rsid w:val="00EC0ED4"/>
    <w:rsid w:val="00EC1BA5"/>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2059"/>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1914"/>
    <w:rsid w:val="00F52667"/>
    <w:rsid w:val="00F53368"/>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2FA7"/>
    <w:rsid w:val="00FC3301"/>
    <w:rsid w:val="00FC6410"/>
    <w:rsid w:val="00FC6F02"/>
    <w:rsid w:val="00FD0F32"/>
    <w:rsid w:val="00FD1C01"/>
    <w:rsid w:val="00FD28DE"/>
    <w:rsid w:val="00FD7835"/>
    <w:rsid w:val="00FE23B7"/>
    <w:rsid w:val="00FE3247"/>
    <w:rsid w:val="00FE37E4"/>
    <w:rsid w:val="00FE39BA"/>
    <w:rsid w:val="00FE4964"/>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 w:type="paragraph" w:customStyle="1" w:styleId="2a">
    <w:name w:val="Без інтервалів2"/>
    <w:rsid w:val="003453D8"/>
    <w:pPr>
      <w:suppressAutoHyphens/>
    </w:pPr>
    <w:rPr>
      <w:rFonts w:ascii="Liberation Serif" w:eastAsia="Times New Roman" w:hAnsi="Liberation Serif" w:cs="Liberation Serif"/>
      <w:sz w:val="22"/>
      <w:szCs w:val="22"/>
      <w:lang w:eastAsia="zh-CN" w:bidi="hi-IN"/>
    </w:rPr>
  </w:style>
  <w:style w:type="table" w:customStyle="1" w:styleId="2b">
    <w:name w:val="Сетка таблицы2"/>
    <w:basedOn w:val="a3"/>
    <w:next w:val="ae"/>
    <w:uiPriority w:val="39"/>
    <w:rsid w:val="009C09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3"/>
    <w:next w:val="ae"/>
    <w:uiPriority w:val="59"/>
    <w:rsid w:val="006A2CC6"/>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1739</Words>
  <Characters>9918</Characters>
  <Application>Microsoft Office Word</Application>
  <DocSecurity>0</DocSecurity>
  <Lines>82</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2024-06-27T15:22:00Z</dcterms:created>
  <dcterms:modified xsi:type="dcterms:W3CDTF">2024-12-18T12:05:00Z</dcterms:modified>
</cp:coreProperties>
</file>