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4" w:rsidRDefault="003E1EB4">
      <w:pPr>
        <w:rPr>
          <w:rFonts w:eastAsia="Times New Roman" w:cs="Times New Roman"/>
          <w:color w:val="000000"/>
          <w:sz w:val="24"/>
          <w:szCs w:val="24"/>
          <w:lang w:eastAsia="uk-UA"/>
        </w:rPr>
      </w:pPr>
    </w:p>
    <w:p w:rsidR="003E1EB4" w:rsidRDefault="0020078A">
      <w:pPr>
        <w:jc w:val="center"/>
        <w:rPr>
          <w:rFonts w:eastAsia="Times New Roman" w:cs="Times New Roman"/>
          <w:sz w:val="24"/>
          <w:szCs w:val="24"/>
          <w:lang w:eastAsia="uk-UA"/>
        </w:rPr>
      </w:pPr>
      <w:r>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E1EB4" w:rsidRDefault="0020078A">
      <w:pPr>
        <w:spacing w:before="100" w:beforeAutospacing="1" w:after="100" w:afterAutospacing="1"/>
        <w:jc w:val="both"/>
        <w:rPr>
          <w:rStyle w:val="a6"/>
          <w:bCs/>
          <w:sz w:val="24"/>
          <w:szCs w:val="24"/>
        </w:rPr>
      </w:pPr>
      <w:r>
        <w:rPr>
          <w:rStyle w:val="a6"/>
          <w:bCs/>
          <w:sz w:val="24"/>
          <w:szCs w:val="24"/>
        </w:rPr>
        <w:t xml:space="preserve">(оприлюднюється на виконання постанови КМУ № 710 від 11.10.2016 «Про ефективне використання державних коштів» (зі </w:t>
      </w:r>
      <w:r>
        <w:rPr>
          <w:rStyle w:val="a6"/>
          <w:bCs/>
          <w:sz w:val="24"/>
          <w:szCs w:val="24"/>
        </w:rPr>
        <w:t>змінами))</w:t>
      </w:r>
    </w:p>
    <w:p w:rsidR="003E1EB4" w:rsidRDefault="0020078A">
      <w:pPr>
        <w:spacing w:before="100" w:beforeAutospacing="1" w:after="100" w:afterAutospacing="1"/>
        <w:jc w:val="both"/>
        <w:rPr>
          <w:rFonts w:eastAsia="Times New Roman"/>
          <w:b/>
          <w:i/>
          <w:color w:val="000000"/>
          <w:sz w:val="24"/>
          <w:szCs w:val="24"/>
          <w:u w:val="single"/>
          <w:lang w:eastAsia="uk-UA"/>
        </w:rPr>
      </w:pPr>
      <w:r>
        <w:rPr>
          <w:rStyle w:val="a6"/>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Style w:val="a6"/>
          <w:b/>
          <w:bCs/>
          <w:sz w:val="24"/>
          <w:szCs w:val="24"/>
          <w:u w:val="single"/>
        </w:rPr>
        <w:t>Держмитслужба м. Київ , вул. Дегтярівська, 11г, ЄДРПОУ 43115923.</w:t>
      </w:r>
    </w:p>
    <w:p w:rsidR="003E1EB4" w:rsidRDefault="0020078A">
      <w:pPr>
        <w:widowControl w:val="0"/>
        <w:jc w:val="both"/>
        <w:rPr>
          <w:sz w:val="24"/>
          <w:szCs w:val="24"/>
        </w:rPr>
      </w:pPr>
      <w:r>
        <w:rPr>
          <w:b/>
          <w:sz w:val="24"/>
          <w:szCs w:val="24"/>
        </w:rPr>
        <w:t>В</w:t>
      </w:r>
      <w:r>
        <w:rPr>
          <w:b/>
          <w:sz w:val="24"/>
          <w:szCs w:val="24"/>
        </w:rPr>
        <w:t>ид та ідентифікатор процедури закупівлі</w:t>
      </w:r>
      <w:r>
        <w:rPr>
          <w:b/>
          <w:bCs/>
          <w:sz w:val="24"/>
          <w:szCs w:val="24"/>
        </w:rPr>
        <w:t>:</w:t>
      </w:r>
      <w:r>
        <w:rPr>
          <w:sz w:val="24"/>
          <w:szCs w:val="24"/>
        </w:rPr>
        <w:t xml:space="preserve"> </w:t>
      </w:r>
      <w:r>
        <w:rPr>
          <w:sz w:val="24"/>
          <w:szCs w:val="24"/>
          <w:u w:val="single"/>
          <w:lang w:val="en-US"/>
        </w:rPr>
        <w:t>UA</w:t>
      </w:r>
      <w:r>
        <w:rPr>
          <w:sz w:val="24"/>
          <w:szCs w:val="24"/>
          <w:u w:val="single"/>
          <w:lang w:val="ru-RU"/>
        </w:rPr>
        <w:t>-2024-</w:t>
      </w:r>
      <w:r>
        <w:rPr>
          <w:sz w:val="24"/>
          <w:szCs w:val="24"/>
          <w:u w:val="single"/>
          <w:lang w:val="en-US"/>
        </w:rPr>
        <w:t>12</w:t>
      </w:r>
      <w:r>
        <w:rPr>
          <w:sz w:val="24"/>
          <w:szCs w:val="24"/>
          <w:u w:val="single"/>
          <w:lang w:val="ru-RU"/>
        </w:rPr>
        <w:t>-</w:t>
      </w:r>
      <w:r w:rsidR="00A16696">
        <w:rPr>
          <w:sz w:val="24"/>
          <w:szCs w:val="24"/>
          <w:u w:val="single"/>
        </w:rPr>
        <w:t>24</w:t>
      </w:r>
      <w:r>
        <w:rPr>
          <w:sz w:val="24"/>
          <w:szCs w:val="24"/>
          <w:u w:val="single"/>
          <w:lang w:val="ru-RU"/>
        </w:rPr>
        <w:t>-</w:t>
      </w:r>
      <w:r w:rsidR="00A16696">
        <w:rPr>
          <w:sz w:val="24"/>
          <w:szCs w:val="24"/>
          <w:u w:val="single"/>
        </w:rPr>
        <w:t>015831</w:t>
      </w:r>
      <w:r>
        <w:rPr>
          <w:sz w:val="24"/>
          <w:szCs w:val="24"/>
          <w:u w:val="single"/>
          <w:lang w:val="ru-RU"/>
        </w:rPr>
        <w:t>-</w:t>
      </w:r>
      <w:r>
        <w:rPr>
          <w:sz w:val="24"/>
          <w:szCs w:val="24"/>
          <w:u w:val="single"/>
          <w:lang w:val="en-US"/>
        </w:rPr>
        <w:t>a</w:t>
      </w:r>
      <w:r>
        <w:rPr>
          <w:sz w:val="24"/>
          <w:szCs w:val="24"/>
        </w:rPr>
        <w:t>.</w:t>
      </w:r>
    </w:p>
    <w:p w:rsidR="003E1EB4" w:rsidRDefault="003E1EB4">
      <w:pPr>
        <w:rPr>
          <w:sz w:val="24"/>
          <w:szCs w:val="24"/>
        </w:rPr>
      </w:pPr>
    </w:p>
    <w:p w:rsidR="003E1EB4" w:rsidRDefault="0020078A">
      <w:pPr>
        <w:pStyle w:val="aa"/>
        <w:numPr>
          <w:ilvl w:val="0"/>
          <w:numId w:val="2"/>
        </w:numPr>
        <w:ind w:left="0" w:firstLine="426"/>
        <w:jc w:val="both"/>
        <w:rPr>
          <w:rFonts w:cs="Times New Roman"/>
          <w:sz w:val="24"/>
          <w:szCs w:val="24"/>
        </w:rPr>
      </w:pPr>
      <w:r>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w:t>
      </w:r>
      <w:r>
        <w:rPr>
          <w:rFonts w:cs="Times New Roman"/>
          <w:sz w:val="24"/>
          <w:szCs w:val="24"/>
        </w:rPr>
        <w:t>ведення публічних закупівель в Державній митній службі України)).</w:t>
      </w:r>
    </w:p>
    <w:p w:rsidR="003E1EB4" w:rsidRDefault="003E1EB4">
      <w:pPr>
        <w:pStyle w:val="aa"/>
        <w:tabs>
          <w:tab w:val="left" w:pos="9072"/>
        </w:tabs>
        <w:ind w:left="0"/>
        <w:jc w:val="both"/>
        <w:rPr>
          <w:rFonts w:cs="Times New Roman"/>
          <w:sz w:val="24"/>
          <w:szCs w:val="24"/>
          <w:lang w:eastAsia="zh-CN"/>
        </w:rPr>
      </w:pPr>
    </w:p>
    <w:p w:rsidR="003E1EB4" w:rsidRDefault="00A16696">
      <w:pPr>
        <w:tabs>
          <w:tab w:val="left" w:pos="9639"/>
        </w:tabs>
        <w:ind w:firstLine="567"/>
        <w:jc w:val="both"/>
        <w:rPr>
          <w:sz w:val="24"/>
          <w:szCs w:val="24"/>
        </w:rPr>
      </w:pPr>
      <w:r w:rsidRPr="00A16696">
        <w:rPr>
          <w:bCs/>
          <w:sz w:val="24"/>
          <w:szCs w:val="24"/>
        </w:rPr>
        <w:t xml:space="preserve">Послуги захищеного доступу до мережі Інтернет (канал1); Послуги захищеного доступу до мережі Інтернет (канал 2) за Код 021: 2015 72410000-7 Послуги провайдерів </w:t>
      </w:r>
      <w:r w:rsidRPr="00A16696">
        <w:rPr>
          <w:sz w:val="24"/>
          <w:szCs w:val="24"/>
        </w:rPr>
        <w:t>(Послуги захищеного доступу до мережі Інтернет (канал1); Послуги захищеного доступу до мережі Інтернет (канал 2):ДК 021: 2015 72410000-7 Послуги провайдерів)</w:t>
      </w:r>
      <w:r w:rsidRPr="00A16696">
        <w:rPr>
          <w:sz w:val="24"/>
          <w:szCs w:val="24"/>
        </w:rPr>
        <w:t>.</w:t>
      </w:r>
    </w:p>
    <w:p w:rsidR="00A16696" w:rsidRPr="00A16696" w:rsidRDefault="00A16696">
      <w:pPr>
        <w:tabs>
          <w:tab w:val="left" w:pos="9639"/>
        </w:tabs>
        <w:ind w:firstLine="567"/>
        <w:jc w:val="both"/>
        <w:rPr>
          <w:rFonts w:cs="Times New Roman"/>
          <w:sz w:val="24"/>
          <w:szCs w:val="24"/>
        </w:rPr>
      </w:pPr>
    </w:p>
    <w:p w:rsidR="00A16696" w:rsidRDefault="0020078A" w:rsidP="00A16696">
      <w:pPr>
        <w:ind w:firstLine="426"/>
        <w:jc w:val="both"/>
        <w:outlineLvl w:val="0"/>
        <w:rPr>
          <w:sz w:val="24"/>
          <w:szCs w:val="24"/>
          <w:lang w:eastAsia="zh-CN"/>
        </w:rPr>
      </w:pPr>
      <w:r>
        <w:rPr>
          <w:rFonts w:cs="Times New Roman"/>
          <w:sz w:val="24"/>
          <w:szCs w:val="24"/>
        </w:rPr>
        <w:t>2.Обґрунтування доцільності закупівлі (чим зумовлена необхідність закупівлі, мета</w:t>
      </w:r>
      <w:r>
        <w:rPr>
          <w:rFonts w:cs="Times New Roman"/>
          <w:sz w:val="24"/>
          <w:szCs w:val="24"/>
          <w:lang w:val="en-US"/>
        </w:rPr>
        <w:t>)</w:t>
      </w:r>
      <w:r>
        <w:rPr>
          <w:rFonts w:cs="Times New Roman"/>
          <w:sz w:val="24"/>
          <w:szCs w:val="24"/>
        </w:rPr>
        <w:t xml:space="preserve"> </w:t>
      </w:r>
      <w:r w:rsidR="00A16696" w:rsidRPr="00A16696">
        <w:rPr>
          <w:sz w:val="24"/>
          <w:szCs w:val="24"/>
          <w:lang w:eastAsia="zh-CN"/>
        </w:rPr>
        <w:t xml:space="preserve">Послуги захищеного доступу до мережі Інтернет (канал1); Послуги захищеного доступу до мережі Інтернет (канал 2) за Код 021: 2015 72410000-7 Послуги провайдерів (Послуги захищеного доступу до мережі Інтернет (канал1); Послуги захищеного доступу до мережі Інтернет (канал 2):ДК 021: 2015 72410000-7 Послуги провайдерів) </w:t>
      </w:r>
    </w:p>
    <w:p w:rsidR="00A16696" w:rsidRDefault="00A16696" w:rsidP="00A16696">
      <w:pPr>
        <w:ind w:firstLine="426"/>
        <w:jc w:val="both"/>
        <w:outlineLvl w:val="0"/>
        <w:rPr>
          <w:sz w:val="24"/>
          <w:szCs w:val="24"/>
          <w:lang w:eastAsia="zh-CN"/>
        </w:rPr>
      </w:pP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Забезпечення</w:t>
      </w:r>
      <w:r w:rsidRPr="00A16696">
        <w:rPr>
          <w:rFonts w:eastAsia="Times New Roman" w:cs="Times New Roman"/>
          <w:i/>
          <w:szCs w:val="28"/>
          <w:lang w:eastAsia="ru-RU"/>
        </w:rPr>
        <w:t xml:space="preserve"> </w:t>
      </w:r>
      <w:r w:rsidRPr="00A16696">
        <w:rPr>
          <w:rFonts w:eastAsia="Calibri" w:cs="Times New Roman"/>
          <w:sz w:val="24"/>
          <w:szCs w:val="24"/>
        </w:rPr>
        <w:t>Державної</w:t>
      </w:r>
      <w:r w:rsidRPr="00A16696">
        <w:rPr>
          <w:rFonts w:eastAsia="Times New Roman" w:cs="Times New Roman"/>
          <w:i/>
          <w:szCs w:val="28"/>
          <w:lang w:eastAsia="ru-RU"/>
        </w:rPr>
        <w:t xml:space="preserve"> </w:t>
      </w:r>
      <w:r w:rsidRPr="00A16696">
        <w:rPr>
          <w:rFonts w:eastAsia="Calibri" w:cs="Times New Roman"/>
          <w:sz w:val="24"/>
          <w:szCs w:val="24"/>
        </w:rPr>
        <w:t xml:space="preserve">митної служби України захищеним доступом до мережі Інтернет, а також операторське та технічне супроводження доступу до мережі Інтернет необхідне для забезпечення роботи: </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електронного декларування;</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Єдиного державного інформаційного веб-порталу «єдине вікно для міжнародної торгівлі»;</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Офіційного веб-порталу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Он-лайн сервісу «Калькулятор митної вартості та платежів при митному оформленні автомобілів»;</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BI-системи Держмитслужби (програмний продукт «Модуль Business Intelligence для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Он-лайн системи «Скарги на роботу митниці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Мапи інфраструктури Держмитслужби;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Електронної пошти Держмитслужби в мережі Інтернет;</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та інших електронних сервісів Держмитслужби в мережі Інтернет.</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Відповідно до постанови Кабінету Міністрів України від 19 червня 2019 р. № 518 «Про затвердження Загальних вимог до кіберзахисту об’єктів критичної інфраструктури» для забезпечення відмовостійкості об’єкта критичної інформаційної інфраструктури об’єкта критичної інфраструктури повинно здійснюватися (для об’єкта критичної інфраструктури, які надають свої послуги через Інтернет) зв’язок з Інтернетом з використанням двох та більше каналів передачі даних, які надаються різними операторами мережі передачі даних (провайдерами) (абзац шостий пункту 38 Переліку базових вимог із забезпечення кіберзахисту об’єктів критичної інфраструктури додатку до Загальних вимог).</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lastRenderedPageBreak/>
        <w:t>При наданні послуг провайдер повинен забезпечити Технічні вимоги до послуг захищеного доступу до мережі Інтернет відповідно до чинних в Україні законодавчих та нормативних актів.</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Послуги повинні надаватись через захищений вузол Інтернет-доступу (ЗВІД) з використанням Комплексної системи захисту інформації (КСЗІ) та програмно-апаратним комплексом захисту від DDoS-атак.</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xml:space="preserve">КСЗІ забезпечує: </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необхідний рівень захисту відкритої і технологічної інформації при зберіганні, обробці, створенні та передачі за допомогою засобів системи;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фізичний захист апаратно-програмних засобів ЗВІД від несанкціонованого доступу.</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Захист від DDoS-атак забезпечує:</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відбиття атак третього (L3), четвертого (L4) та сьомого (L7) рівнів еталонної моделі OSI (мережевий, транспортний та прикладний);</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активне придушення DDoS-атак в режимі реального часу;</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автоматичне регулювання параметрів захисту з можливістю ручного регулювання параметрів системи;</w:t>
      </w:r>
    </w:p>
    <w:p w:rsidR="00A16696" w:rsidRPr="00A16696" w:rsidRDefault="00A16696" w:rsidP="00A16696">
      <w:pPr>
        <w:ind w:firstLine="426"/>
        <w:jc w:val="both"/>
        <w:rPr>
          <w:rFonts w:eastAsia="Calibri" w:cs="Times New Roman"/>
          <w:sz w:val="24"/>
          <w:szCs w:val="24"/>
        </w:rPr>
      </w:pPr>
      <w:r w:rsidRPr="00A16696">
        <w:rPr>
          <w:rFonts w:eastAsia="Calibri" w:cs="Times New Roman"/>
          <w:sz w:val="24"/>
          <w:szCs w:val="24"/>
        </w:rPr>
        <w:t>– створення механізмів фільтрації за ознаками списків ІР-адрес, географічного розташування, списками дозволених/заборонених протоколів.</w:t>
      </w:r>
    </w:p>
    <w:p w:rsidR="00A16696" w:rsidRDefault="00A16696" w:rsidP="00A16696">
      <w:pPr>
        <w:tabs>
          <w:tab w:val="left" w:pos="1134"/>
        </w:tabs>
        <w:ind w:firstLine="567"/>
        <w:contextualSpacing/>
        <w:jc w:val="both"/>
        <w:rPr>
          <w:rFonts w:eastAsia="Times New Roman" w:cs="Times New Roman"/>
          <w:sz w:val="24"/>
          <w:szCs w:val="24"/>
          <w:lang w:eastAsia="ar-SA"/>
        </w:rPr>
      </w:pPr>
    </w:p>
    <w:p w:rsidR="00A16696" w:rsidRPr="00A16696" w:rsidRDefault="00A16696" w:rsidP="00A16696">
      <w:pPr>
        <w:tabs>
          <w:tab w:val="left" w:pos="1134"/>
        </w:tabs>
        <w:ind w:firstLine="567"/>
        <w:contextualSpacing/>
        <w:jc w:val="both"/>
        <w:rPr>
          <w:rFonts w:eastAsia="Times New Roman" w:cs="Times New Roman"/>
          <w:sz w:val="24"/>
          <w:szCs w:val="24"/>
          <w:lang w:eastAsia="ar-SA"/>
        </w:rPr>
      </w:pPr>
      <w:r w:rsidRPr="00A16696">
        <w:rPr>
          <w:rFonts w:eastAsia="Times New Roman" w:cs="Times New Roman"/>
          <w:sz w:val="24"/>
          <w:szCs w:val="24"/>
          <w:lang w:eastAsia="ar-SA"/>
        </w:rPr>
        <w:t>3.</w:t>
      </w:r>
      <w:r w:rsidRPr="00A16696">
        <w:rPr>
          <w:rFonts w:eastAsia="Times New Roman" w:cs="Times New Roman"/>
          <w:sz w:val="24"/>
          <w:szCs w:val="24"/>
          <w:lang w:eastAsia="ar-SA"/>
        </w:rPr>
        <w:tab/>
        <w:t>Обґрунтування обсягів закупівлі (відповідно до чого визначено обсяги закупівлі або підставі чого обраховано) обсяги закупівель визначені відповідно до потреб замовника на 2025 рік.</w:t>
      </w:r>
    </w:p>
    <w:p w:rsidR="00A16696" w:rsidRPr="00A16696" w:rsidRDefault="00A16696" w:rsidP="00A16696">
      <w:pPr>
        <w:tabs>
          <w:tab w:val="left" w:pos="1134"/>
        </w:tabs>
        <w:ind w:firstLine="567"/>
        <w:contextualSpacing/>
        <w:jc w:val="both"/>
        <w:rPr>
          <w:rFonts w:eastAsia="Times New Roman" w:cs="Times New Roman"/>
          <w:sz w:val="24"/>
          <w:szCs w:val="24"/>
          <w:lang w:eastAsia="ar-SA"/>
        </w:rPr>
      </w:pPr>
    </w:p>
    <w:p w:rsidR="003E1EB4" w:rsidRPr="00A16696" w:rsidRDefault="00A16696" w:rsidP="00A16696">
      <w:pPr>
        <w:tabs>
          <w:tab w:val="left" w:pos="1134"/>
        </w:tabs>
        <w:ind w:firstLine="567"/>
        <w:contextualSpacing/>
        <w:jc w:val="both"/>
        <w:rPr>
          <w:rFonts w:eastAsia="Times New Roman" w:cs="Times New Roman"/>
          <w:sz w:val="24"/>
          <w:szCs w:val="24"/>
          <w:lang w:eastAsia="ar-SA"/>
        </w:rPr>
      </w:pPr>
      <w:r w:rsidRPr="00A16696">
        <w:rPr>
          <w:rFonts w:eastAsia="Times New Roman" w:cs="Times New Roman"/>
          <w:sz w:val="24"/>
          <w:szCs w:val="24"/>
          <w:lang w:eastAsia="ar-SA"/>
        </w:rPr>
        <w:t>4.</w:t>
      </w:r>
      <w:r w:rsidRPr="00A16696">
        <w:rPr>
          <w:rFonts w:eastAsia="Times New Roman" w:cs="Times New Roman"/>
          <w:sz w:val="24"/>
          <w:szCs w:val="24"/>
          <w:lang w:eastAsia="ar-SA"/>
        </w:rPr>
        <w:tab/>
        <w:t>Обґрунтування технічних та якісних характеристик закупівлі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w:t>
      </w:r>
    </w:p>
    <w:p w:rsidR="00A16696" w:rsidRDefault="00A16696">
      <w:pPr>
        <w:tabs>
          <w:tab w:val="left" w:pos="1134"/>
        </w:tabs>
        <w:ind w:firstLine="567"/>
        <w:contextualSpacing/>
        <w:jc w:val="both"/>
        <w:rPr>
          <w:rFonts w:eastAsia="Times New Roman" w:cs="Times New Roman"/>
          <w:sz w:val="20"/>
          <w:szCs w:val="20"/>
          <w:lang w:eastAsia="ar-SA"/>
        </w:rPr>
      </w:pPr>
    </w:p>
    <w:p w:rsidR="003E1EB4" w:rsidRDefault="00A16696">
      <w:pPr>
        <w:tabs>
          <w:tab w:val="left" w:pos="1134"/>
        </w:tabs>
        <w:ind w:firstLine="567"/>
        <w:contextualSpacing/>
        <w:jc w:val="both"/>
        <w:rPr>
          <w:rFonts w:eastAsia="Calibri" w:cs="Times New Roman"/>
          <w:sz w:val="24"/>
          <w:szCs w:val="24"/>
          <w:lang w:eastAsia="uk-UA"/>
        </w:rPr>
      </w:pPr>
      <w:r>
        <w:rPr>
          <w:rFonts w:eastAsia="Calibri" w:cs="Times New Roman"/>
          <w:sz w:val="24"/>
          <w:szCs w:val="24"/>
          <w:lang w:eastAsia="uk-UA"/>
        </w:rPr>
        <w:t>5</w:t>
      </w:r>
      <w:r w:rsidR="0020078A">
        <w:rPr>
          <w:rFonts w:eastAsia="Calibri" w:cs="Times New Roman"/>
          <w:sz w:val="24"/>
          <w:szCs w:val="24"/>
          <w:lang w:eastAsia="uk-UA"/>
        </w:rPr>
        <w:t>.</w:t>
      </w:r>
      <w:r w:rsidR="0020078A">
        <w:rPr>
          <w:rFonts w:ascii="TimesNewRomanPSMT" w:hAnsi="TimesNewRomanPSMT" w:cs="TimesNewRomanPSMT"/>
          <w:sz w:val="24"/>
          <w:szCs w:val="24"/>
        </w:rPr>
        <w:t xml:space="preserve"> </w:t>
      </w:r>
      <w:r w:rsidR="0020078A">
        <w:rPr>
          <w:rFonts w:eastAsia="Calibri" w:cs="Times New Roman"/>
          <w:sz w:val="24"/>
          <w:szCs w:val="24"/>
          <w:lang w:eastAsia="uk-UA"/>
        </w:rPr>
        <w:t>Обґрунтування очікуваної вартості закупівлі: 7</w:t>
      </w:r>
      <w:r>
        <w:rPr>
          <w:rFonts w:eastAsia="Calibri" w:cs="Times New Roman"/>
          <w:sz w:val="24"/>
          <w:szCs w:val="24"/>
          <w:lang w:eastAsia="uk-UA"/>
        </w:rPr>
        <w:t> 264 683,00</w:t>
      </w:r>
      <w:r w:rsidR="0020078A">
        <w:rPr>
          <w:rFonts w:eastAsia="Calibri" w:cs="Times New Roman"/>
          <w:sz w:val="24"/>
          <w:szCs w:val="24"/>
          <w:lang w:eastAsia="uk-UA"/>
        </w:rPr>
        <w:t xml:space="preserve"> грн, вартість послуг сформовано відповідно до примірної методики визна</w:t>
      </w:r>
      <w:r w:rsidR="0020078A">
        <w:rPr>
          <w:rFonts w:eastAsia="Calibri" w:cs="Times New Roman"/>
          <w:sz w:val="24"/>
          <w:szCs w:val="24"/>
          <w:lang w:eastAsia="uk-UA"/>
        </w:rPr>
        <w:t>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проведеного аналізу цін на аналогічні за технічними характеристиками по</w:t>
      </w:r>
      <w:r w:rsidR="0020078A">
        <w:rPr>
          <w:rFonts w:eastAsia="Calibri" w:cs="Times New Roman"/>
          <w:sz w:val="24"/>
          <w:szCs w:val="24"/>
          <w:lang w:eastAsia="uk-UA"/>
        </w:rPr>
        <w:t>слуги в мережі Інтернет</w:t>
      </w:r>
      <w:r>
        <w:rPr>
          <w:rFonts w:eastAsia="Calibri" w:cs="Times New Roman"/>
          <w:sz w:val="24"/>
          <w:szCs w:val="24"/>
          <w:lang w:eastAsia="uk-UA"/>
        </w:rPr>
        <w:t>.</w:t>
      </w:r>
      <w:r w:rsidRPr="00A16696">
        <w:t xml:space="preserve"> </w:t>
      </w:r>
      <w:r w:rsidRPr="00A16696">
        <w:rPr>
          <w:rFonts w:eastAsia="Calibri" w:cs="Times New Roman"/>
          <w:sz w:val="24"/>
          <w:szCs w:val="24"/>
          <w:lang w:eastAsia="uk-UA"/>
        </w:rPr>
        <w:t>Так, очікувана вартість предмету закупівлі визначена на підставі ціни за попереднім договор</w:t>
      </w:r>
      <w:bookmarkStart w:id="0" w:name="_GoBack"/>
      <w:bookmarkEnd w:id="0"/>
      <w:r w:rsidRPr="00A16696">
        <w:rPr>
          <w:rFonts w:eastAsia="Calibri" w:cs="Times New Roman"/>
          <w:sz w:val="24"/>
          <w:szCs w:val="24"/>
          <w:lang w:eastAsia="uk-UA"/>
        </w:rPr>
        <w:t>ом.</w:t>
      </w:r>
    </w:p>
    <w:sectPr w:rsidR="003E1EB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EB4" w:rsidRDefault="0020078A">
      <w:r>
        <w:separator/>
      </w:r>
    </w:p>
  </w:endnote>
  <w:endnote w:type="continuationSeparator" w:id="0">
    <w:p w:rsidR="003E1EB4" w:rsidRDefault="0020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CC"/>
    <w:family w:val="auto"/>
    <w:pitch w:val="default"/>
    <w:sig w:usb0="00000000" w:usb1="00000000" w:usb2="00000000" w:usb3="00000000" w:csb0="00000005"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EB4" w:rsidRDefault="0020078A">
      <w:r>
        <w:separator/>
      </w:r>
    </w:p>
  </w:footnote>
  <w:footnote w:type="continuationSeparator" w:id="0">
    <w:p w:rsidR="003E1EB4" w:rsidRDefault="00200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91A10"/>
    <w:multiLevelType w:val="multilevel"/>
    <w:tmpl w:val="56291A10"/>
    <w:lvl w:ilvl="0">
      <w:start w:val="1"/>
      <w:numFmt w:val="decimal"/>
      <w:pStyle w:val="a"/>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78FA4F3D"/>
    <w:multiLevelType w:val="multilevel"/>
    <w:tmpl w:val="78FA4F3D"/>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1463DB"/>
    <w:rsid w:val="0020078A"/>
    <w:rsid w:val="002839E4"/>
    <w:rsid w:val="00293956"/>
    <w:rsid w:val="0033663D"/>
    <w:rsid w:val="00396DF7"/>
    <w:rsid w:val="003E1EB4"/>
    <w:rsid w:val="00402568"/>
    <w:rsid w:val="00464A76"/>
    <w:rsid w:val="0051223A"/>
    <w:rsid w:val="00534801"/>
    <w:rsid w:val="005527AD"/>
    <w:rsid w:val="006841C4"/>
    <w:rsid w:val="006F557D"/>
    <w:rsid w:val="007329CB"/>
    <w:rsid w:val="00733068"/>
    <w:rsid w:val="0074456E"/>
    <w:rsid w:val="00791D58"/>
    <w:rsid w:val="007E48A6"/>
    <w:rsid w:val="007F73ED"/>
    <w:rsid w:val="0084248B"/>
    <w:rsid w:val="008463DD"/>
    <w:rsid w:val="00860A1D"/>
    <w:rsid w:val="008C7E29"/>
    <w:rsid w:val="009141EA"/>
    <w:rsid w:val="0092337D"/>
    <w:rsid w:val="009255E7"/>
    <w:rsid w:val="00957C68"/>
    <w:rsid w:val="00984C2C"/>
    <w:rsid w:val="009B5358"/>
    <w:rsid w:val="009B6ECD"/>
    <w:rsid w:val="00A16696"/>
    <w:rsid w:val="00A238BF"/>
    <w:rsid w:val="00B24970"/>
    <w:rsid w:val="00BC2816"/>
    <w:rsid w:val="00C0074F"/>
    <w:rsid w:val="00C40146"/>
    <w:rsid w:val="00D56785"/>
    <w:rsid w:val="00EE391C"/>
    <w:rsid w:val="00FF3F42"/>
    <w:rsid w:val="06A26B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4BDC"/>
  <w15:docId w15:val="{CD715F60-54C6-435F-B36F-C9B28C6A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8"/>
      <w:szCs w:val="22"/>
      <w:lang w:eastAsia="en-US"/>
    </w:rPr>
  </w:style>
  <w:style w:type="paragraph" w:styleId="1">
    <w:name w:val="heading 1"/>
    <w:basedOn w:val="a0"/>
    <w:next w:val="a0"/>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styleId="a6">
    <w:name w:val="Emphasis"/>
    <w:uiPriority w:val="99"/>
    <w:qFormat/>
    <w:rPr>
      <w:i/>
      <w:iCs/>
    </w:rPr>
  </w:style>
  <w:style w:type="character" w:styleId="a7">
    <w:name w:val="Hyperlink"/>
    <w:basedOn w:val="a1"/>
    <w:uiPriority w:val="99"/>
    <w:unhideWhenUsed/>
    <w:qFormat/>
    <w:rPr>
      <w:color w:val="0563C1" w:themeColor="hyperlink"/>
      <w:u w:val="single"/>
    </w:rPr>
  </w:style>
  <w:style w:type="paragraph" w:styleId="a8">
    <w:name w:val="Normal (Web)"/>
    <w:basedOn w:val="a0"/>
    <w:uiPriority w:val="99"/>
    <w:unhideWhenUsed/>
    <w:qFormat/>
    <w:pPr>
      <w:spacing w:before="100" w:beforeAutospacing="1" w:after="100" w:afterAutospacing="1"/>
    </w:pPr>
    <w:rPr>
      <w:rFonts w:eastAsia="Times New Roman" w:cs="Times New Roman"/>
      <w:sz w:val="24"/>
      <w:szCs w:val="24"/>
      <w:lang w:val="ru-RU" w:eastAsia="ru-RU"/>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pPr>
      <w:ind w:left="720"/>
      <w:contextualSpacing/>
    </w:pPr>
  </w:style>
  <w:style w:type="character" w:customStyle="1" w:styleId="ab">
    <w:name w:val="Абзац списку Знак"/>
    <w:link w:val="aa"/>
    <w:uiPriority w:val="34"/>
    <w:qFormat/>
    <w:rPr>
      <w:rFonts w:ascii="Times New Roman" w:hAnsi="Times New Roman"/>
      <w:sz w:val="28"/>
    </w:rPr>
  </w:style>
  <w:style w:type="paragraph" w:customStyle="1" w:styleId="ac">
    <w:name w:val="Номер"/>
    <w:basedOn w:val="a0"/>
    <w:qFormat/>
    <w:pPr>
      <w:tabs>
        <w:tab w:val="left" w:pos="1134"/>
      </w:tabs>
      <w:spacing w:before="120" w:after="120"/>
      <w:ind w:firstLine="709"/>
      <w:jc w:val="both"/>
    </w:pPr>
    <w:rPr>
      <w:rFonts w:ascii="Calibri" w:eastAsia="Times New Roman" w:hAnsi="Calibri" w:cs="Calibri"/>
      <w:szCs w:val="28"/>
      <w:lang w:eastAsia="ru-RU"/>
    </w:rPr>
  </w:style>
  <w:style w:type="character" w:customStyle="1" w:styleId="a5">
    <w:name w:val="Текст у виносці Знак"/>
    <w:basedOn w:val="a1"/>
    <w:link w:val="a4"/>
    <w:uiPriority w:val="99"/>
    <w:semiHidden/>
    <w:rPr>
      <w:rFonts w:ascii="Segoe UI" w:hAnsi="Segoe UI" w:cs="Segoe UI"/>
      <w:sz w:val="18"/>
      <w:szCs w:val="18"/>
    </w:rPr>
  </w:style>
  <w:style w:type="character" w:customStyle="1" w:styleId="ad">
    <w:name w:val="Основной текст_"/>
    <w:link w:val="3"/>
    <w:rPr>
      <w:rFonts w:ascii="Times New Roman" w:eastAsia="Times New Roman" w:hAnsi="Times New Roman"/>
      <w:sz w:val="23"/>
      <w:szCs w:val="23"/>
      <w:shd w:val="clear" w:color="auto" w:fill="FFFFFF"/>
    </w:rPr>
  </w:style>
  <w:style w:type="paragraph" w:customStyle="1" w:styleId="3">
    <w:name w:val="Основной текст3"/>
    <w:basedOn w:val="a0"/>
    <w:link w:val="ad"/>
    <w:qFormat/>
    <w:pPr>
      <w:widowControl w:val="0"/>
      <w:shd w:val="clear" w:color="auto" w:fill="FFFFFF"/>
      <w:spacing w:after="60" w:line="0" w:lineRule="atLeast"/>
      <w:ind w:hanging="420"/>
      <w:jc w:val="right"/>
    </w:pPr>
    <w:rPr>
      <w:rFonts w:eastAsia="Times New Roman"/>
      <w:sz w:val="23"/>
      <w:szCs w:val="23"/>
    </w:rPr>
  </w:style>
  <w:style w:type="paragraph" w:customStyle="1" w:styleId="ae">
    <w:name w:val="Абзац ТВ"/>
    <w:basedOn w:val="a0"/>
    <w:qFormat/>
    <w:pPr>
      <w:ind w:firstLine="567"/>
      <w:jc w:val="both"/>
    </w:pPr>
    <w:rPr>
      <w:rFonts w:eastAsia="Calibri" w:cs="Times New Roman"/>
      <w:sz w:val="24"/>
      <w:szCs w:val="24"/>
      <w:lang w:eastAsia="uk-UA"/>
    </w:rPr>
  </w:style>
  <w:style w:type="table" w:customStyle="1" w:styleId="11">
    <w:name w:val="Сетка таблицы1"/>
    <w:basedOn w:val="a2"/>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pPr>
      <w:keepLines w:val="0"/>
      <w:numPr>
        <w:numId w:val="1"/>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character" w:customStyle="1" w:styleId="10">
    <w:name w:val="Заголовок 1 Знак"/>
    <w:basedOn w:val="a1"/>
    <w:link w:val="1"/>
    <w:uiPriority w:val="9"/>
    <w:qFormat/>
    <w:rPr>
      <w:rFonts w:asciiTheme="majorHAnsi" w:eastAsiaTheme="majorEastAsia" w:hAnsiTheme="majorHAnsi" w:cstheme="majorBidi"/>
      <w:color w:val="2E74B5" w:themeColor="accent1" w:themeShade="BF"/>
      <w:sz w:val="32"/>
      <w:szCs w:val="32"/>
    </w:rPr>
  </w:style>
  <w:style w:type="paragraph" w:customStyle="1" w:styleId="21">
    <w:name w:val="Номер2"/>
    <w:basedOn w:val="ac"/>
    <w:qFormat/>
    <w:pPr>
      <w:tabs>
        <w:tab w:val="clear" w:pos="1134"/>
        <w:tab w:val="left" w:pos="5104"/>
      </w:tabs>
      <w:spacing w:before="0"/>
      <w:ind w:left="3686"/>
    </w:pPr>
    <w:rPr>
      <w:rFonts w:ascii="Times New Roman" w:hAnsi="Times New Roman" w:cs="Times New Roman"/>
      <w:szCs w:val="24"/>
      <w:lang w:val="zh-CN"/>
    </w:rPr>
  </w:style>
  <w:style w:type="paragraph" w:customStyle="1" w:styleId="30">
    <w:name w:val="Номер3"/>
    <w:basedOn w:val="21"/>
    <w:qFormat/>
    <w:pPr>
      <w:tabs>
        <w:tab w:val="clear" w:pos="5104"/>
        <w:tab w:val="left" w:pos="1701"/>
      </w:tabs>
      <w:ind w:left="0"/>
    </w:pPr>
  </w:style>
  <w:style w:type="paragraph" w:customStyle="1" w:styleId="4">
    <w:name w:val="Номер4"/>
    <w:basedOn w:val="30"/>
    <w:qFormat/>
    <w:pPr>
      <w:tabs>
        <w:tab w:val="clear" w:pos="1701"/>
        <w:tab w:val="left" w:pos="1985"/>
      </w:tabs>
    </w:pPr>
  </w:style>
  <w:style w:type="paragraph" w:customStyle="1" w:styleId="5">
    <w:name w:val="Номер5"/>
    <w:basedOn w:val="4"/>
    <w:qFormat/>
    <w:pPr>
      <w:tabs>
        <w:tab w:val="clear" w:pos="1985"/>
        <w:tab w:val="left" w:pos="2268"/>
      </w:tabs>
    </w:pPr>
  </w:style>
  <w:style w:type="paragraph" w:customStyle="1" w:styleId="6">
    <w:name w:val="Номер6"/>
    <w:basedOn w:val="5"/>
    <w:pPr>
      <w:tabs>
        <w:tab w:val="clear" w:pos="2268"/>
        <w:tab w:val="left" w:pos="2552"/>
      </w:tabs>
    </w:pPr>
  </w:style>
  <w:style w:type="paragraph" w:customStyle="1" w:styleId="7">
    <w:name w:val="Номер7"/>
    <w:basedOn w:val="6"/>
    <w:qFormat/>
    <w:pPr>
      <w:tabs>
        <w:tab w:val="clear" w:pos="2552"/>
        <w:tab w:val="left" w:pos="2835"/>
      </w:tabs>
    </w:pPr>
  </w:style>
  <w:style w:type="paragraph" w:customStyle="1" w:styleId="8">
    <w:name w:val="Номер8"/>
    <w:basedOn w:val="7"/>
    <w:qFormat/>
    <w:pPr>
      <w:tabs>
        <w:tab w:val="clear" w:pos="2835"/>
        <w:tab w:val="left" w:pos="3119"/>
      </w:tabs>
    </w:pPr>
  </w:style>
  <w:style w:type="paragraph" w:customStyle="1" w:styleId="9">
    <w:name w:val="Номер9"/>
    <w:basedOn w:val="8"/>
    <w:qFormat/>
    <w:pPr>
      <w:tabs>
        <w:tab w:val="clear" w:pos="3119"/>
        <w:tab w:val="left" w:pos="3402"/>
      </w:tabs>
    </w:pPr>
  </w:style>
  <w:style w:type="character" w:customStyle="1" w:styleId="20">
    <w:name w:val="Заголовок 2 Знак"/>
    <w:basedOn w:val="a1"/>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80">
    <w:name w:val="Основной текст8"/>
    <w:basedOn w:val="a0"/>
    <w:qFormat/>
    <w:pPr>
      <w:widowControl w:val="0"/>
      <w:shd w:val="clear" w:color="auto" w:fill="FFFFFF"/>
      <w:spacing w:before="540" w:after="300" w:line="0" w:lineRule="atLeast"/>
      <w:ind w:hanging="360"/>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21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586</Words>
  <Characters>4342</Characters>
  <Application>Microsoft Office Word</Application>
  <DocSecurity>0</DocSecurity>
  <Lines>83</Lines>
  <Paragraphs>31</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Okhrymchuk Irina</dc:creator>
  <cp:lastModifiedBy>Okhrymchuk Irina</cp:lastModifiedBy>
  <cp:revision>45</cp:revision>
  <cp:lastPrinted>2024-12-05T14:11:00Z</cp:lastPrinted>
  <dcterms:created xsi:type="dcterms:W3CDTF">2024-04-11T08:32:00Z</dcterms:created>
  <dcterms:modified xsi:type="dcterms:W3CDTF">2024-12-24T14:27:00Z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C258B445674446428F069671EDCBBD1A_12</vt:lpwstr>
  </property>
</Properties>
</file>