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9C04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14:paraId="66B2070D">
      <w:pPr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245221">
      <w:pPr>
        <w:spacing w:before="100" w:beforeAutospacing="1" w:after="100" w:afterAutospacing="1"/>
        <w:jc w:val="both"/>
        <w:rPr>
          <w:rStyle w:val="6"/>
          <w:bCs/>
          <w:sz w:val="20"/>
          <w:szCs w:val="20"/>
        </w:rPr>
      </w:pPr>
      <w:r>
        <w:rPr>
          <w:rStyle w:val="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1F47B0B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>
        <w:rPr>
          <w:rStyle w:val="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Style w:val="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14:paraId="5C6CE233">
      <w:pPr>
        <w:widowControl w:val="0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>Вид та ідентифікатор процедури закупівлі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u w:val="single"/>
          <w:lang w:val="en-US"/>
        </w:rPr>
        <w:t>UA</w:t>
      </w:r>
      <w:r>
        <w:rPr>
          <w:sz w:val="24"/>
          <w:szCs w:val="24"/>
          <w:highlight w:val="none"/>
          <w:u w:val="single"/>
          <w:lang w:val="ru-RU"/>
        </w:rPr>
        <w:t>-2024-</w:t>
      </w:r>
      <w:r>
        <w:rPr>
          <w:rFonts w:hint="default"/>
          <w:sz w:val="24"/>
          <w:szCs w:val="24"/>
          <w:highlight w:val="none"/>
          <w:u w:val="single"/>
          <w:lang w:val="uk-UA"/>
        </w:rPr>
        <w:t>12</w:t>
      </w:r>
      <w:r>
        <w:rPr>
          <w:sz w:val="24"/>
          <w:szCs w:val="24"/>
          <w:highlight w:val="none"/>
          <w:u w:val="single"/>
          <w:lang w:val="ru-RU"/>
        </w:rPr>
        <w:t>-</w:t>
      </w:r>
      <w:r>
        <w:rPr>
          <w:rFonts w:hint="default"/>
          <w:sz w:val="24"/>
          <w:szCs w:val="24"/>
          <w:highlight w:val="none"/>
          <w:u w:val="single"/>
          <w:lang w:val="uk-UA"/>
        </w:rPr>
        <w:t>30</w:t>
      </w:r>
      <w:r>
        <w:rPr>
          <w:sz w:val="24"/>
          <w:szCs w:val="24"/>
          <w:highlight w:val="none"/>
          <w:u w:val="single"/>
          <w:lang w:val="ru-RU"/>
        </w:rPr>
        <w:t>-00</w:t>
      </w:r>
      <w:r>
        <w:rPr>
          <w:rFonts w:hint="default"/>
          <w:sz w:val="24"/>
          <w:szCs w:val="24"/>
          <w:highlight w:val="none"/>
          <w:u w:val="single"/>
          <w:lang w:val="uk-UA"/>
        </w:rPr>
        <w:t>5035</w:t>
      </w:r>
      <w:r>
        <w:rPr>
          <w:sz w:val="24"/>
          <w:szCs w:val="24"/>
          <w:highlight w:val="none"/>
          <w:u w:val="single"/>
          <w:lang w:val="ru-RU"/>
        </w:rPr>
        <w:t>-</w:t>
      </w:r>
      <w:r>
        <w:rPr>
          <w:sz w:val="24"/>
          <w:szCs w:val="24"/>
          <w:highlight w:val="none"/>
          <w:u w:val="single"/>
          <w:lang w:val="en-US"/>
        </w:rPr>
        <w:t>a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sz w:val="24"/>
          <w:szCs w:val="24"/>
          <w:highlight w:val="none"/>
        </w:rPr>
        <w:t>.</w:t>
      </w:r>
    </w:p>
    <w:p w14:paraId="364BC61F"/>
    <w:p w14:paraId="4CA457B2">
      <w:pPr>
        <w:pStyle w:val="8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 закупівлі: (зазначає</w:t>
      </w:r>
      <w:bookmarkStart w:id="0" w:name="_GoBack"/>
      <w:bookmarkEnd w:id="0"/>
      <w:r>
        <w:rPr>
          <w:rFonts w:cs="Times New Roman"/>
          <w:sz w:val="24"/>
          <w:szCs w:val="24"/>
        </w:rPr>
        <w:t>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14:paraId="2423781F">
      <w:pPr>
        <w:pStyle w:val="8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14:paraId="708715E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Послуги електронних комунікацій для забезпечення роботи каналів зв’язку Відомчої електронної комунікаційної мережі Держмитслужби (канал 2) за кодом ДК 021:2015 – 64210000-1– «Послуги телефонного зв’язку та передачі даних».</w:t>
      </w:r>
    </w:p>
    <w:p w14:paraId="06528F9A">
      <w:pPr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</w:p>
    <w:p w14:paraId="1BFC6CF9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  <w:r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14:paraId="1B07A72A">
      <w:pPr>
        <w:autoSpaceDE w:val="0"/>
        <w:autoSpaceDN w:val="0"/>
        <w:adjustRightInd w:val="0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Забезпечення реалізації державної політики в Державній митній службі функціонує ЄАІС</w:t>
      </w:r>
    </w:p>
    <w:p w14:paraId="70FB007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Державної митної служби України, частиною якої є Відомча електронна комунікаційна мережа (далі – ВКМ Держмитслужби), яка об’єднує каналами передачі даних всі місця митного контролю та оформлення.</w:t>
      </w:r>
    </w:p>
    <w:p w14:paraId="1784E02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організації каналів передачі даних ВКМ Держмитслужби, Державна митна служба України отримує послуги від оператора з надання послуг електронних комунікацій. На даний час забезпечено, крім каналів центрального рівня, централізоване підключення 201 митного підрозділу. Від стабільної працездатності та безперервної роботи каналів передачі даних (послуг телекомунікацій) залежить:</w:t>
      </w:r>
    </w:p>
    <w:p w14:paraId="5B47933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-забезпечення інформаційного обміну митниць з Державною митною службою України.</w:t>
      </w:r>
    </w:p>
    <w:p w14:paraId="0D17C66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доступ до централізованих електронних інформаційних ресурсів та систем Держмитслужби, таких як, АСМО «Інспектор», АІС Центр.</w:t>
      </w:r>
    </w:p>
    <w:p w14:paraId="57CB950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-своєчасне проведення процедур митного оформлення та митного контролю, здійснення контролю за доставкою вантажів у митниці призначення, визначення митної вартості товарів,</w:t>
      </w:r>
    </w:p>
    <w:p w14:paraId="2850BCF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протидія контрабанді та порушенням митних правил.</w:t>
      </w:r>
    </w:p>
    <w:p w14:paraId="3DCB46A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-надходження платежів до Державного бюджету в рамках митного оформлення (надання</w:t>
      </w:r>
    </w:p>
    <w:p w14:paraId="3027D1A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Державній казначейській службі України інформації про перерахування митними підрозділами коштів до Державного бюджету України).</w:t>
      </w:r>
    </w:p>
    <w:p w14:paraId="1A3B21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-забезпечення інформаційної взаємодії з центральними органами виконавчої влади, органами місцевого самоврядування та суб’єктами зовнішньоекономічної діяльності, функціонування програмно-інформаційних комплексів.</w:t>
      </w:r>
    </w:p>
    <w:p w14:paraId="7493DE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-функціонування внутрішньої ІР-телефонії та проведення апаратних нарад Держмитслужби.</w:t>
      </w:r>
    </w:p>
    <w:p w14:paraId="687E92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Забезпечуються такі принципові вимоги, як:</w:t>
      </w:r>
    </w:p>
    <w:p w14:paraId="34960B5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Побудова каналів передачі даних для ВКМ Держмитслужби з використанням технології L2MPLS, яка забезпечує прямий зв’язок між всіма підрозділами Держмитслужби на другому рівні еталонної моделі OSI. Технологія L2MPLS унеможливлює втручання оператора у маршрутизацію трафіку Держмитслужби (у оператора відсутня інформація щодо мереж Держмитслужби).</w:t>
      </w:r>
    </w:p>
    <w:p w14:paraId="0749C526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Забезпечення резервування надання телекомунікаційних послуг альтернативними каналами зв’язку з використанням іншого фізичного середовища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0427164B">
      <w:pPr>
        <w:ind w:firstLine="426"/>
        <w:jc w:val="both"/>
        <w:rPr>
          <w:rFonts w:cs="Times New Roman"/>
          <w:sz w:val="24"/>
          <w:szCs w:val="24"/>
        </w:rPr>
      </w:pPr>
    </w:p>
    <w:p w14:paraId="2617286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-Фізичне відокремлення ВКМ від інших телекомунікаційних мереж (у тому числі мережі Інтернет).</w:t>
      </w:r>
    </w:p>
    <w:p w14:paraId="3BAB620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-Організацію каналів передачі даних на спільних пунктах пропуску через державний кордон України, які розташовані на територіях суміжних держав.</w:t>
      </w:r>
    </w:p>
    <w:p w14:paraId="0FA90300">
      <w:pPr>
        <w:ind w:firstLine="426"/>
        <w:jc w:val="both"/>
        <w:rPr>
          <w:rFonts w:cs="Times New Roman"/>
          <w:sz w:val="24"/>
          <w:szCs w:val="24"/>
        </w:rPr>
      </w:pPr>
    </w:p>
    <w:p w14:paraId="46B87E4B">
      <w:pPr>
        <w:pStyle w:val="8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3.Обґрунтування обсягів закупівлі (відповідно до чого визначено обсяги закупівлі або підставі чого обраховано).Обсяги закупівель визначені відповідно до потреб замовника на 2025 рік.</w:t>
      </w:r>
    </w:p>
    <w:p w14:paraId="12832B6A">
      <w:pPr>
        <w:pStyle w:val="8"/>
        <w:ind w:left="426"/>
        <w:jc w:val="both"/>
        <w:rPr>
          <w:rFonts w:cs="Times New Roman"/>
          <w:sz w:val="24"/>
          <w:szCs w:val="24"/>
        </w:rPr>
      </w:pPr>
    </w:p>
    <w:p w14:paraId="430BE62A">
      <w:pPr>
        <w:ind w:left="142"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4.Обґрунтування технічних та якісних характеристик закупівлі (якісні характеристики) визначено відповідно до потреб замовника та з урахуванням загальноприйнятих норм і стандартів для зазначеного предмета закупівлі.</w:t>
      </w:r>
    </w:p>
    <w:p w14:paraId="29601218">
      <w:pPr>
        <w:ind w:left="1134" w:hanging="708"/>
        <w:jc w:val="center"/>
        <w:rPr>
          <w:b/>
          <w:color w:val="000000"/>
          <w:szCs w:val="28"/>
        </w:rPr>
      </w:pPr>
    </w:p>
    <w:p w14:paraId="1BC9D2A3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5.Обґрунтування бюджетного призначення та/або очікуваної вартості предмета закупівлі: </w:t>
      </w:r>
    </w:p>
    <w:p w14:paraId="4B25672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</w:t>
      </w:r>
      <w:r>
        <w:rPr>
          <w:rFonts w:ascii="TimesNewRomanPSMT" w:hAnsi="TimesNewRomanPSMT" w:cs="TimesNewRomanPSMT"/>
          <w:sz w:val="24"/>
          <w:szCs w:val="24"/>
        </w:rPr>
        <w:t>7 979 322,00 грн, інформацію стосовно вартості послуг сформовано на підставі самостійного аналізу цін на аналогічні за технічними характеристиками послуги,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 Так, очікувана вартість предмету закупівлі визначена на підставі ціни за попередніми договорами.</w:t>
      </w:r>
    </w:p>
    <w:sectPr>
      <w:pgSz w:w="11906" w:h="16838"/>
      <w:pgMar w:top="426" w:right="850" w:bottom="568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A4F3D"/>
    <w:multiLevelType w:val="multilevel"/>
    <w:tmpl w:val="78FA4F3D"/>
    <w:lvl w:ilvl="0" w:tentative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92" w:hanging="360"/>
      </w:pPr>
    </w:lvl>
    <w:lvl w:ilvl="2" w:tentative="0">
      <w:start w:val="1"/>
      <w:numFmt w:val="lowerRoman"/>
      <w:lvlText w:val="%3."/>
      <w:lvlJc w:val="right"/>
      <w:pPr>
        <w:ind w:left="3012" w:hanging="180"/>
      </w:pPr>
    </w:lvl>
    <w:lvl w:ilvl="3" w:tentative="0">
      <w:start w:val="1"/>
      <w:numFmt w:val="decimal"/>
      <w:lvlText w:val="%4."/>
      <w:lvlJc w:val="left"/>
      <w:pPr>
        <w:ind w:left="3732" w:hanging="360"/>
      </w:pPr>
    </w:lvl>
    <w:lvl w:ilvl="4" w:tentative="0">
      <w:start w:val="1"/>
      <w:numFmt w:val="lowerLetter"/>
      <w:lvlText w:val="%5."/>
      <w:lvlJc w:val="left"/>
      <w:pPr>
        <w:ind w:left="4452" w:hanging="360"/>
      </w:pPr>
    </w:lvl>
    <w:lvl w:ilvl="5" w:tentative="0">
      <w:start w:val="1"/>
      <w:numFmt w:val="lowerRoman"/>
      <w:lvlText w:val="%6."/>
      <w:lvlJc w:val="right"/>
      <w:pPr>
        <w:ind w:left="5172" w:hanging="180"/>
      </w:pPr>
    </w:lvl>
    <w:lvl w:ilvl="6" w:tentative="0">
      <w:start w:val="1"/>
      <w:numFmt w:val="decimal"/>
      <w:lvlText w:val="%7."/>
      <w:lvlJc w:val="left"/>
      <w:pPr>
        <w:ind w:left="5892" w:hanging="360"/>
      </w:pPr>
    </w:lvl>
    <w:lvl w:ilvl="7" w:tentative="0">
      <w:start w:val="1"/>
      <w:numFmt w:val="lowerLetter"/>
      <w:lvlText w:val="%8."/>
      <w:lvlJc w:val="left"/>
      <w:pPr>
        <w:ind w:left="6612" w:hanging="360"/>
      </w:pPr>
    </w:lvl>
    <w:lvl w:ilvl="8" w:tentative="0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3A8B"/>
    <w:rsid w:val="0003718E"/>
    <w:rsid w:val="000C6E30"/>
    <w:rsid w:val="001A63D4"/>
    <w:rsid w:val="00464A76"/>
    <w:rsid w:val="004D33BD"/>
    <w:rsid w:val="005527AD"/>
    <w:rsid w:val="005A45A4"/>
    <w:rsid w:val="0071212D"/>
    <w:rsid w:val="007329CB"/>
    <w:rsid w:val="00733068"/>
    <w:rsid w:val="0084248B"/>
    <w:rsid w:val="00860A1D"/>
    <w:rsid w:val="00984C2C"/>
    <w:rsid w:val="009B6ECD"/>
    <w:rsid w:val="00A238BF"/>
    <w:rsid w:val="00B24970"/>
    <w:rsid w:val="00C11688"/>
    <w:rsid w:val="00CF2B91"/>
    <w:rsid w:val="00D34056"/>
    <w:rsid w:val="00F62C35"/>
    <w:rsid w:val="00FE10A8"/>
    <w:rsid w:val="534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5"/>
    <w:semiHidden/>
    <w:unhideWhenUsed/>
    <w:uiPriority w:val="99"/>
    <w:pPr>
      <w:spacing w:after="120" w:line="259" w:lineRule="auto"/>
    </w:pPr>
    <w:rPr>
      <w:rFonts w:ascii="Calibri" w:hAnsi="Calibri" w:eastAsia="Calibri" w:cs="Times New Roman"/>
      <w:sz w:val="22"/>
      <w:lang w:val="ru-RU"/>
    </w:rPr>
  </w:style>
  <w:style w:type="character" w:styleId="6">
    <w:name w:val="Emphasis"/>
    <w:qFormat/>
    <w:uiPriority w:val="99"/>
    <w:rPr>
      <w:i/>
      <w:iCs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9">
    <w:name w:val="Абзац списку Знак"/>
    <w:link w:val="8"/>
    <w:qFormat/>
    <w:uiPriority w:val="34"/>
    <w:rPr>
      <w:rFonts w:ascii="Times New Roman" w:hAnsi="Times New Roman"/>
      <w:sz w:val="28"/>
    </w:rPr>
  </w:style>
  <w:style w:type="paragraph" w:customStyle="1" w:styleId="10">
    <w:name w:val="Номер"/>
    <w:basedOn w:val="1"/>
    <w:qFormat/>
    <w:uiPriority w:val="0"/>
    <w:pPr>
      <w:tabs>
        <w:tab w:val="left" w:pos="1134"/>
      </w:tabs>
      <w:spacing w:before="120" w:after="120"/>
      <w:ind w:firstLine="709"/>
      <w:jc w:val="both"/>
    </w:pPr>
    <w:rPr>
      <w:rFonts w:ascii="Calibri" w:hAnsi="Calibri" w:eastAsia="Times New Roman" w:cs="Calibri"/>
      <w:szCs w:val="28"/>
      <w:lang w:eastAsia="ru-RU"/>
    </w:rPr>
  </w:style>
  <w:style w:type="character" w:customStyle="1" w:styleId="11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Основной текст_"/>
    <w:link w:val="13"/>
    <w:uiPriority w:val="0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customStyle="1" w:styleId="13">
    <w:name w:val="Основной текст3"/>
    <w:basedOn w:val="1"/>
    <w:link w:val="12"/>
    <w:uiPriority w:val="0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customStyle="1" w:styleId="14">
    <w:name w:val="Основной текст8"/>
    <w:basedOn w:val="1"/>
    <w:uiPriority w:val="0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character" w:customStyle="1" w:styleId="15">
    <w:name w:val="Основний текст Знак"/>
    <w:basedOn w:val="2"/>
    <w:link w:val="5"/>
    <w:semiHidden/>
    <w:uiPriority w:val="99"/>
    <w:rPr>
      <w:rFonts w:ascii="Calibri" w:hAnsi="Calibri" w:eastAsia="Calibri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3033</Words>
  <Characters>1730</Characters>
  <Lines>14</Lines>
  <Paragraphs>9</Paragraphs>
  <TotalTime>80</TotalTime>
  <ScaleCrop>false</ScaleCrop>
  <LinksUpToDate>false</LinksUpToDate>
  <CharactersWithSpaces>4754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2024-04-11T08:32:00Z</dcterms:created>
  <dc:creator>Okhrymchuk Irina</dc:creator>
  <cp:lastModifiedBy>User</cp:lastModifiedBy>
  <cp:lastPrinted>2024-08-29T12:02:00Z</cp:lastPrinted>
  <dcterms:modified xsi:type="dcterms:W3CDTF">2024-12-30T12:29:56Z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B958E47EE71A41C288B2F903B61E2E2F_12</vt:lpwstr>
  </property>
</Properties>
</file>