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 xml:space="preserve">лота) та назви відповідних </w:t>
      </w:r>
      <w:proofErr w:type="spellStart"/>
      <w:r w:rsidRPr="006E0648">
        <w:rPr>
          <w:b/>
          <w:sz w:val="28"/>
          <w:szCs w:val="28"/>
        </w:rPr>
        <w:t>клас</w:t>
      </w:r>
      <w:r w:rsidR="0018585C">
        <w:rPr>
          <w:b/>
          <w:sz w:val="28"/>
          <w:szCs w:val="28"/>
        </w:rPr>
        <w:t>ифікато</w:t>
      </w:r>
      <w:r w:rsidRPr="006E0648">
        <w:rPr>
          <w:b/>
          <w:sz w:val="28"/>
          <w:szCs w:val="28"/>
        </w:rPr>
        <w:t>ів</w:t>
      </w:r>
      <w:proofErr w:type="spellEnd"/>
      <w:r w:rsidRPr="006E0648">
        <w:rPr>
          <w:b/>
          <w:sz w:val="28"/>
          <w:szCs w:val="28"/>
        </w:rPr>
        <w:t xml:space="preserve">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Pr="00D0724B"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CD66B9">
        <w:rPr>
          <w:rFonts w:eastAsia="Calibri"/>
          <w:color w:val="000000"/>
          <w:sz w:val="28"/>
          <w:szCs w:val="28"/>
        </w:rPr>
        <w:t>«</w:t>
      </w:r>
      <w:r w:rsidR="00284162" w:rsidRPr="00284162">
        <w:rPr>
          <w:rFonts w:eastAsia="Calibri"/>
          <w:color w:val="000000"/>
          <w:sz w:val="28"/>
          <w:szCs w:val="28"/>
        </w:rPr>
        <w:t>Послуги охорони приміщення бюджетної установи за адресою: вул. Індустріальна, 7, м. Глухів, Сумська обл.</w:t>
      </w:r>
      <w:r w:rsidR="00107AEC" w:rsidRPr="00CD66B9">
        <w:rPr>
          <w:rFonts w:eastAsia="Calibri"/>
          <w:color w:val="000000"/>
          <w:sz w:val="28"/>
          <w:szCs w:val="28"/>
        </w:rPr>
        <w:t>»</w:t>
      </w:r>
      <w:r>
        <w:rPr>
          <w:rFonts w:eastAsia="Calibri"/>
          <w:color w:val="000000"/>
          <w:sz w:val="28"/>
          <w:szCs w:val="28"/>
        </w:rPr>
        <w:t xml:space="preserve"> </w:t>
      </w:r>
      <w:r w:rsidRPr="001B6A9D">
        <w:rPr>
          <w:rFonts w:eastAsia="Calibri"/>
          <w:color w:val="000000"/>
          <w:sz w:val="28"/>
          <w:szCs w:val="28"/>
        </w:rPr>
        <w:t>за кодом ДК 021:2015</w:t>
      </w:r>
      <w:r>
        <w:rPr>
          <w:rFonts w:eastAsia="Calibri"/>
          <w:color w:val="000000"/>
          <w:sz w:val="28"/>
          <w:szCs w:val="28"/>
        </w:rPr>
        <w:t xml:space="preserve"> </w:t>
      </w:r>
      <w:r w:rsidR="00107AEC">
        <w:rPr>
          <w:rFonts w:eastAsia="Calibri"/>
          <w:color w:val="000000"/>
          <w:sz w:val="28"/>
          <w:szCs w:val="28"/>
        </w:rPr>
        <w:t>–</w:t>
      </w:r>
      <w:r>
        <w:rPr>
          <w:rFonts w:eastAsia="Calibri"/>
          <w:color w:val="000000"/>
          <w:sz w:val="28"/>
          <w:szCs w:val="28"/>
        </w:rPr>
        <w:t xml:space="preserve"> </w:t>
      </w:r>
      <w:r w:rsidR="00CD66B9">
        <w:rPr>
          <w:rFonts w:eastAsia="Calibri"/>
          <w:color w:val="000000"/>
          <w:sz w:val="28"/>
          <w:szCs w:val="28"/>
        </w:rPr>
        <w:t>7971</w:t>
      </w:r>
      <w:r w:rsidR="00107AEC">
        <w:rPr>
          <w:rFonts w:eastAsia="Calibri"/>
          <w:color w:val="000000"/>
          <w:sz w:val="28"/>
          <w:szCs w:val="28"/>
        </w:rPr>
        <w:t>0000-</w:t>
      </w:r>
      <w:r w:rsidR="00CD66B9">
        <w:rPr>
          <w:rFonts w:eastAsia="Calibri"/>
          <w:color w:val="000000"/>
          <w:sz w:val="28"/>
          <w:szCs w:val="28"/>
        </w:rPr>
        <w:t>4</w:t>
      </w:r>
      <w:r w:rsidR="00D0724B">
        <w:rPr>
          <w:rFonts w:eastAsia="Calibri"/>
          <w:color w:val="000000"/>
          <w:sz w:val="28"/>
          <w:szCs w:val="28"/>
        </w:rPr>
        <w:t xml:space="preserve"> </w:t>
      </w:r>
      <w:r w:rsidR="00CD66B9">
        <w:rPr>
          <w:sz w:val="28"/>
          <w:szCs w:val="28"/>
        </w:rPr>
        <w:t>Охоронні послуги</w:t>
      </w:r>
      <w:r w:rsidRPr="00D0724B">
        <w:rPr>
          <w:rFonts w:eastAsia="Calibri"/>
          <w:color w:val="000000"/>
          <w:sz w:val="28"/>
          <w:szCs w:val="28"/>
        </w:rPr>
        <w:t>»</w:t>
      </w:r>
      <w:r w:rsidR="00614053" w:rsidRPr="00D0724B">
        <w:rPr>
          <w:rFonts w:eastAsia="Calibri"/>
          <w:color w:val="000000"/>
          <w:sz w:val="28"/>
          <w:szCs w:val="28"/>
        </w:rPr>
        <w:t>.</w:t>
      </w:r>
      <w:r w:rsidRPr="00D0724B">
        <w:rPr>
          <w:rFonts w:eastAsia="Calibri"/>
          <w:color w:val="000000"/>
          <w:sz w:val="28"/>
          <w:szCs w:val="28"/>
        </w:rPr>
        <w:t xml:space="preserve"> </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6E0648" w:rsidP="007C2BD8">
      <w:pPr>
        <w:ind w:firstLine="567"/>
        <w:contextualSpacing/>
        <w:jc w:val="both"/>
        <w:rPr>
          <w:b/>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8D79BC" w:rsidRPr="008D79BC">
        <w:rPr>
          <w:b/>
          <w:sz w:val="28"/>
          <w:szCs w:val="28"/>
        </w:rPr>
        <w:t>UA-2024-12-30-009241-a</w:t>
      </w:r>
      <w:bookmarkStart w:id="0" w:name="_GoBack"/>
      <w:bookmarkEnd w:id="0"/>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284162" w:rsidRDefault="000864AF" w:rsidP="000864AF">
      <w:pPr>
        <w:jc w:val="center"/>
        <w:rPr>
          <w:rFonts w:eastAsia="Times New Roman CYR"/>
          <w:b/>
          <w:bCs/>
          <w:color w:val="000000"/>
          <w:sz w:val="28"/>
          <w:szCs w:val="28"/>
        </w:rPr>
      </w:pPr>
      <w:r w:rsidRPr="000864AF">
        <w:rPr>
          <w:rFonts w:eastAsia="Times New Roman CYR"/>
          <w:b/>
          <w:bCs/>
          <w:color w:val="000000"/>
          <w:sz w:val="28"/>
          <w:szCs w:val="28"/>
        </w:rPr>
        <w:t xml:space="preserve">Технічні, якісні та кількісні вимоги до предмета закупівлі </w:t>
      </w:r>
    </w:p>
    <w:p w:rsidR="000864AF" w:rsidRPr="00284162" w:rsidRDefault="00284162" w:rsidP="000864AF">
      <w:pPr>
        <w:jc w:val="center"/>
        <w:rPr>
          <w:color w:val="000000"/>
          <w:sz w:val="28"/>
          <w:szCs w:val="28"/>
          <w:lang w:eastAsia="uk-UA"/>
        </w:rPr>
      </w:pPr>
      <w:r w:rsidRPr="00284162">
        <w:rPr>
          <w:rStyle w:val="fw500"/>
          <w:rFonts w:eastAsia="Batang"/>
          <w:sz w:val="28"/>
          <w:szCs w:val="28"/>
        </w:rPr>
        <w:t>Послуги охорони приміщення бюджетної установи за адресою: вул. Індустріальна, 7, м. Глухів, Сумська обл.</w:t>
      </w:r>
    </w:p>
    <w:p w:rsidR="000864AF" w:rsidRPr="000864AF" w:rsidRDefault="000864AF" w:rsidP="000864AF">
      <w:pPr>
        <w:jc w:val="center"/>
        <w:rPr>
          <w:color w:val="000000"/>
          <w:sz w:val="28"/>
          <w:szCs w:val="28"/>
          <w:lang w:eastAsia="uk-UA"/>
        </w:rPr>
      </w:pPr>
    </w:p>
    <w:p w:rsidR="00284162" w:rsidRDefault="000864AF" w:rsidP="000864AF">
      <w:pPr>
        <w:jc w:val="center"/>
        <w:rPr>
          <w:color w:val="000000"/>
          <w:sz w:val="28"/>
          <w:szCs w:val="28"/>
          <w:lang w:eastAsia="uk-UA"/>
        </w:rPr>
      </w:pPr>
      <w:r w:rsidRPr="000864AF">
        <w:rPr>
          <w:color w:val="000000"/>
          <w:sz w:val="28"/>
          <w:szCs w:val="28"/>
          <w:lang w:eastAsia="uk-UA"/>
        </w:rPr>
        <w:t>Код ДК 021:2015 79710000-4   Охоронні послуги</w:t>
      </w:r>
    </w:p>
    <w:p w:rsidR="000864AF" w:rsidRPr="000864AF" w:rsidRDefault="000864AF" w:rsidP="000864AF">
      <w:pPr>
        <w:jc w:val="center"/>
        <w:rPr>
          <w:color w:val="000000"/>
          <w:sz w:val="28"/>
          <w:szCs w:val="28"/>
          <w:lang w:eastAsia="uk-UA"/>
        </w:rPr>
      </w:pPr>
      <w:r w:rsidRPr="000864AF">
        <w:rPr>
          <w:color w:val="000000"/>
          <w:sz w:val="28"/>
          <w:szCs w:val="28"/>
          <w:lang w:eastAsia="uk-UA"/>
        </w:rPr>
        <w:t xml:space="preserve">    </w:t>
      </w:r>
    </w:p>
    <w:tbl>
      <w:tblPr>
        <w:tblpPr w:leftFromText="180" w:rightFromText="180" w:vertAnchor="text" w:tblpY="1"/>
        <w:tblOverlap w:val="never"/>
        <w:tblW w:w="9322" w:type="dxa"/>
        <w:tblLook w:val="00A0" w:firstRow="1" w:lastRow="0" w:firstColumn="1" w:lastColumn="0" w:noHBand="0" w:noVBand="0"/>
      </w:tblPr>
      <w:tblGrid>
        <w:gridCol w:w="3239"/>
        <w:gridCol w:w="6083"/>
      </w:tblGrid>
      <w:tr w:rsidR="00284162" w:rsidRPr="003B3221" w:rsidTr="006B2EB5">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284162" w:rsidRPr="003B3221" w:rsidRDefault="00284162" w:rsidP="006B2EB5">
            <w:pPr>
              <w:tabs>
                <w:tab w:val="left" w:pos="4680"/>
              </w:tabs>
              <w:jc w:val="center"/>
              <w:rPr>
                <w:bCs/>
              </w:rPr>
            </w:pPr>
            <w:r w:rsidRPr="003B3221">
              <w:rPr>
                <w:bCs/>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284162" w:rsidRPr="003B3221" w:rsidRDefault="00284162" w:rsidP="006B2EB5">
            <w:pPr>
              <w:tabs>
                <w:tab w:val="left" w:pos="4680"/>
              </w:tabs>
              <w:jc w:val="center"/>
              <w:rPr>
                <w:bCs/>
              </w:rPr>
            </w:pPr>
            <w:r w:rsidRPr="003B3221">
              <w:rPr>
                <w:bCs/>
              </w:rPr>
              <w:t>Характеристики</w:t>
            </w:r>
          </w:p>
        </w:tc>
      </w:tr>
      <w:tr w:rsidR="00284162" w:rsidRPr="003B3221" w:rsidTr="006B2EB5">
        <w:trPr>
          <w:trHeight w:val="510"/>
        </w:trPr>
        <w:tc>
          <w:tcPr>
            <w:tcW w:w="2321" w:type="dxa"/>
            <w:tcBorders>
              <w:top w:val="nil"/>
              <w:left w:val="single" w:sz="4" w:space="0" w:color="auto"/>
              <w:bottom w:val="single" w:sz="4" w:space="0" w:color="auto"/>
              <w:right w:val="nil"/>
            </w:tcBorders>
            <w:noWrap/>
            <w:vAlign w:val="center"/>
          </w:tcPr>
          <w:p w:rsidR="00284162" w:rsidRPr="00AD5C01" w:rsidRDefault="00284162" w:rsidP="006B2EB5">
            <w:pPr>
              <w:jc w:val="center"/>
            </w:pPr>
            <w:r w:rsidRPr="00AD5C01">
              <w:t xml:space="preserve">Послуги  </w:t>
            </w:r>
            <w:r w:rsidRPr="00AD5C01">
              <w:rPr>
                <w:color w:val="000000"/>
              </w:rPr>
              <w:t xml:space="preserve">охорони приміщення бюджетної установи </w:t>
            </w:r>
            <w:r w:rsidRPr="00AD5C01">
              <w:t xml:space="preserve">за адресою: </w:t>
            </w:r>
            <w:proofErr w:type="spellStart"/>
            <w:r w:rsidRPr="00AD5C01">
              <w:t>вул.Індустріальна</w:t>
            </w:r>
            <w:proofErr w:type="spellEnd"/>
            <w:r w:rsidRPr="00AD5C01">
              <w:t>,7,</w:t>
            </w:r>
            <w:proofErr w:type="spellStart"/>
            <w:r w:rsidRPr="00AD5C01">
              <w:t>м.Глухів</w:t>
            </w:r>
            <w:proofErr w:type="spellEnd"/>
            <w:r w:rsidRPr="00AD5C01">
              <w:t>, Сумська обл.</w:t>
            </w:r>
          </w:p>
          <w:p w:rsidR="00284162" w:rsidRPr="003B3221" w:rsidRDefault="00284162" w:rsidP="006B2EB5">
            <w:pPr>
              <w:jc w:val="center"/>
              <w:rPr>
                <w:b/>
              </w:rPr>
            </w:pPr>
            <w:r w:rsidRPr="00AD5C01">
              <w:t xml:space="preserve"> (Код ДК 021:2015 79710000-4 Охоронні послуги )</w:t>
            </w:r>
            <w:r w:rsidRPr="00AD5C01">
              <w:rPr>
                <w:b/>
              </w:rPr>
              <w:t xml:space="preserve"> </w:t>
            </w:r>
            <w:r w:rsidRPr="00AD5C01">
              <w:rPr>
                <w:bCs/>
                <w:color w:val="000000"/>
                <w:lang w:eastAsia="uk-UA"/>
              </w:rPr>
              <w:t xml:space="preserve"> </w:t>
            </w:r>
          </w:p>
          <w:p w:rsidR="00284162" w:rsidRDefault="00284162" w:rsidP="006B2EB5">
            <w:pPr>
              <w:jc w:val="center"/>
            </w:pPr>
          </w:p>
          <w:p w:rsidR="00284162" w:rsidRPr="003B3221" w:rsidRDefault="00284162" w:rsidP="006B2EB5">
            <w:pPr>
              <w:autoSpaceDE w:val="0"/>
              <w:autoSpaceDN w:val="0"/>
              <w:adjustRightInd w:val="0"/>
              <w:jc w:val="both"/>
              <w:rPr>
                <w:bCs/>
              </w:rPr>
            </w:pPr>
          </w:p>
        </w:tc>
        <w:tc>
          <w:tcPr>
            <w:tcW w:w="7001" w:type="dxa"/>
            <w:tcBorders>
              <w:top w:val="single" w:sz="4" w:space="0" w:color="auto"/>
              <w:left w:val="single" w:sz="4" w:space="0" w:color="auto"/>
              <w:bottom w:val="single" w:sz="4" w:space="0" w:color="auto"/>
              <w:right w:val="single" w:sz="4" w:space="0" w:color="auto"/>
            </w:tcBorders>
            <w:vAlign w:val="bottom"/>
          </w:tcPr>
          <w:p w:rsidR="00284162" w:rsidRDefault="00284162" w:rsidP="006B2EB5">
            <w:pPr>
              <w:jc w:val="center"/>
            </w:pPr>
          </w:p>
          <w:p w:rsidR="00284162" w:rsidRPr="003B3221" w:rsidRDefault="00284162" w:rsidP="006B2EB5">
            <w:pPr>
              <w:jc w:val="both"/>
              <w:rPr>
                <w:b/>
                <w:bCs/>
              </w:rPr>
            </w:pPr>
            <w:r w:rsidRPr="003B3221">
              <w:rPr>
                <w:b/>
              </w:rPr>
              <w:t xml:space="preserve"> Виконавець зобов</w:t>
            </w:r>
            <w:r w:rsidRPr="003B3221">
              <w:t>'</w:t>
            </w:r>
            <w:r w:rsidRPr="003B3221">
              <w:rPr>
                <w:b/>
              </w:rPr>
              <w:t>язаний:</w:t>
            </w:r>
          </w:p>
          <w:p w:rsidR="00284162" w:rsidRPr="003B3221" w:rsidRDefault="00284162" w:rsidP="006B2EB5">
            <w:pPr>
              <w:jc w:val="both"/>
              <w:rPr>
                <w:b/>
              </w:rPr>
            </w:pPr>
          </w:p>
          <w:p w:rsidR="00284162" w:rsidRPr="003B3221" w:rsidRDefault="00284162" w:rsidP="006B2EB5">
            <w:pPr>
              <w:jc w:val="both"/>
            </w:pPr>
            <w:r w:rsidRPr="003B3221">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284162" w:rsidRPr="003B3221" w:rsidRDefault="00284162" w:rsidP="006B2EB5">
            <w:pPr>
              <w:jc w:val="both"/>
            </w:pPr>
            <w:r w:rsidRPr="003B3221">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284162" w:rsidRPr="003B3221" w:rsidRDefault="00284162" w:rsidP="006B2EB5">
            <w:pPr>
              <w:jc w:val="both"/>
            </w:pPr>
            <w:r w:rsidRPr="003B3221">
              <w:t xml:space="preserve">3. У разі виявлення групою реагування Виконавця ознак </w:t>
            </w:r>
            <w:r w:rsidRPr="003B3221">
              <w:lastRenderedPageBreak/>
              <w:t>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284162" w:rsidRPr="003B3221" w:rsidRDefault="00284162" w:rsidP="006B2EB5">
            <w:pPr>
              <w:jc w:val="both"/>
            </w:pPr>
            <w:r w:rsidRPr="003B3221">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284162" w:rsidRPr="003B3221" w:rsidRDefault="00284162" w:rsidP="006B2EB5">
            <w:pPr>
              <w:jc w:val="both"/>
            </w:pPr>
            <w:r w:rsidRPr="003B3221">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284162" w:rsidRDefault="00284162" w:rsidP="006B2EB5">
            <w:pPr>
              <w:jc w:val="both"/>
            </w:pPr>
            <w:r w:rsidRPr="003B3221">
              <w:t>6. В технічно можливий термін усувати причини спрацювання та не включення засобів сигналізації в режим “Охорона”</w:t>
            </w:r>
            <w:r>
              <w:t>.</w:t>
            </w:r>
          </w:p>
          <w:p w:rsidR="00284162" w:rsidRPr="003B3221" w:rsidRDefault="00284162" w:rsidP="006B2EB5">
            <w:pPr>
              <w:jc w:val="both"/>
            </w:pPr>
          </w:p>
          <w:p w:rsidR="00284162" w:rsidRDefault="00284162" w:rsidP="006B2EB5">
            <w:pPr>
              <w:jc w:val="both"/>
              <w:rPr>
                <w:b/>
              </w:rPr>
            </w:pPr>
            <w:r>
              <w:rPr>
                <w:b/>
              </w:rPr>
              <w:t>В складі тендерної пропозиції Виконавець  надає наступні документи :</w:t>
            </w:r>
          </w:p>
          <w:p w:rsidR="00284162" w:rsidRDefault="00284162" w:rsidP="006B2EB5">
            <w:pPr>
              <w:pStyle w:val="aff3"/>
              <w:ind w:firstLine="708"/>
              <w:jc w:val="both"/>
              <w:rPr>
                <w:rFonts w:ascii="Arial" w:hAnsi="Arial" w:cs="Arial"/>
                <w:sz w:val="24"/>
                <w:szCs w:val="24"/>
                <w:lang w:val="uk-UA"/>
              </w:rPr>
            </w:pPr>
          </w:p>
          <w:p w:rsidR="00284162" w:rsidRPr="00E95CFC" w:rsidRDefault="00284162" w:rsidP="006B2EB5">
            <w:pPr>
              <w:pStyle w:val="aff3"/>
              <w:jc w:val="both"/>
              <w:rPr>
                <w:rFonts w:ascii="Times New Roman" w:hAnsi="Times New Roman" w:cs="Times New Roman"/>
                <w:sz w:val="24"/>
                <w:szCs w:val="24"/>
                <w:lang w:val="uk-UA"/>
              </w:rPr>
            </w:pPr>
            <w:r w:rsidRPr="00E95CFC">
              <w:rPr>
                <w:rFonts w:ascii="Times New Roman" w:hAnsi="Times New Roman" w:cs="Times New Roman"/>
                <w:sz w:val="24"/>
                <w:szCs w:val="24"/>
                <w:lang w:val="uk-UA"/>
              </w:rPr>
              <w:t>1. Ліцензія на здійснення охоронної діяльності;</w:t>
            </w:r>
          </w:p>
          <w:p w:rsidR="00284162" w:rsidRPr="00E95CFC" w:rsidRDefault="00284162" w:rsidP="006B2EB5">
            <w:pPr>
              <w:pStyle w:val="aff3"/>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E95CFC">
              <w:rPr>
                <w:rFonts w:ascii="Times New Roman" w:hAnsi="Times New Roman" w:cs="Times New Roman"/>
                <w:sz w:val="24"/>
                <w:szCs w:val="24"/>
                <w:lang w:val="uk-UA"/>
              </w:rPr>
              <w:t xml:space="preserve">. Довідка і копії підтвердних документів про наявність в Учасника мобільних груп швидкого реагування (наказу/розпорядження про створення таких груп на території м. </w:t>
            </w:r>
            <w:r>
              <w:rPr>
                <w:rFonts w:ascii="Times New Roman" w:hAnsi="Times New Roman" w:cs="Times New Roman"/>
                <w:sz w:val="24"/>
                <w:szCs w:val="24"/>
                <w:lang w:val="uk-UA"/>
              </w:rPr>
              <w:t>Глухів, Сумської обл.</w:t>
            </w:r>
            <w:r w:rsidRPr="00E95CFC">
              <w:rPr>
                <w:rFonts w:ascii="Times New Roman" w:hAnsi="Times New Roman" w:cs="Times New Roman"/>
                <w:sz w:val="24"/>
                <w:szCs w:val="24"/>
                <w:lang w:val="uk-UA"/>
              </w:rPr>
              <w:t>);</w:t>
            </w:r>
          </w:p>
          <w:p w:rsidR="00284162" w:rsidRDefault="00284162" w:rsidP="006B2EB5">
            <w:pPr>
              <w:shd w:val="clear" w:color="auto" w:fill="FFFFFF"/>
              <w:rPr>
                <w:color w:val="000000"/>
                <w:sz w:val="21"/>
                <w:szCs w:val="21"/>
              </w:rPr>
            </w:pPr>
            <w:r>
              <w:rPr>
                <w:color w:val="000000"/>
              </w:rPr>
              <w:t>3.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284162" w:rsidRDefault="00284162" w:rsidP="006B2EB5">
            <w:pPr>
              <w:shd w:val="clear" w:color="auto" w:fill="FFFFFF"/>
              <w:rPr>
                <w:color w:val="000000"/>
                <w:sz w:val="21"/>
                <w:szCs w:val="21"/>
              </w:rPr>
            </w:pPr>
            <w:r>
              <w:rPr>
                <w:color w:val="000000"/>
              </w:rPr>
              <w:t xml:space="preserve">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w:t>
            </w:r>
            <w:r>
              <w:rPr>
                <w:color w:val="000000"/>
              </w:rPr>
              <w:lastRenderedPageBreak/>
              <w:t>скановану копію Атестату про акредитацію, виданого НААУ органу, що видав сертифікат, з усіма додатками;</w:t>
            </w:r>
          </w:p>
          <w:p w:rsidR="00284162" w:rsidRDefault="00284162" w:rsidP="006B2EB5">
            <w:pPr>
              <w:shd w:val="clear" w:color="auto" w:fill="FFFFFF"/>
              <w:rPr>
                <w:color w:val="000000"/>
                <w:sz w:val="21"/>
                <w:szCs w:val="21"/>
              </w:rPr>
            </w:pPr>
          </w:p>
          <w:p w:rsidR="00284162" w:rsidRDefault="00284162" w:rsidP="006B2EB5">
            <w:pPr>
              <w:shd w:val="clear" w:color="auto" w:fill="FFFFFF"/>
              <w:rPr>
                <w:color w:val="000000"/>
                <w:sz w:val="21"/>
                <w:szCs w:val="21"/>
              </w:rPr>
            </w:pPr>
            <w:r>
              <w:rPr>
                <w:color w:val="000000"/>
              </w:rPr>
              <w:t>4.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284162" w:rsidRDefault="00284162" w:rsidP="006B2EB5">
            <w:pPr>
              <w:shd w:val="clear" w:color="auto" w:fill="FFFFFF"/>
              <w:rPr>
                <w:color w:val="000000"/>
                <w:sz w:val="21"/>
                <w:szCs w:val="21"/>
              </w:rPr>
            </w:pPr>
            <w:r>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w:t>
            </w:r>
            <w:proofErr w:type="spellStart"/>
            <w:r>
              <w:rPr>
                <w:color w:val="000000"/>
              </w:rPr>
              <w:t>ISO</w:t>
            </w:r>
            <w:proofErr w:type="spellEnd"/>
            <w:r>
              <w:rPr>
                <w:color w:val="000000"/>
              </w:rPr>
              <w:t xml:space="preserve"> 45001:2018, IDT) «Системи управління охороною здоров´я та безпекою праці. Вимоги та настанови, щодо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284162" w:rsidRPr="003B3221" w:rsidRDefault="00284162" w:rsidP="006B2EB5">
            <w:pPr>
              <w:jc w:val="both"/>
              <w:rPr>
                <w:b/>
              </w:rPr>
            </w:pPr>
          </w:p>
          <w:p w:rsidR="00284162" w:rsidRPr="003B3221" w:rsidRDefault="00284162" w:rsidP="006B2EB5">
            <w:pPr>
              <w:jc w:val="both"/>
            </w:pPr>
          </w:p>
        </w:tc>
      </w:tr>
    </w:tbl>
    <w:p w:rsidR="000864AF" w:rsidRDefault="000864AF" w:rsidP="000864AF">
      <w:pPr>
        <w:jc w:val="center"/>
      </w:pPr>
    </w:p>
    <w:p w:rsidR="000864AF" w:rsidRPr="003B3221" w:rsidRDefault="000864AF" w:rsidP="000864AF">
      <w:pPr>
        <w:tabs>
          <w:tab w:val="left" w:pos="7860"/>
        </w:tabs>
        <w:jc w:val="both"/>
      </w:pPr>
    </w:p>
    <w:p w:rsidR="00D0724B" w:rsidRPr="000864AF" w:rsidRDefault="000864AF" w:rsidP="000864AF">
      <w:pPr>
        <w:tabs>
          <w:tab w:val="left" w:pos="7860"/>
        </w:tabs>
        <w:jc w:val="both"/>
      </w:pPr>
      <w:r w:rsidRPr="00B14E3B">
        <w:t>Строк надання послуг з  дня підписання договору   по 31.12.202</w:t>
      </w:r>
      <w:r w:rsidR="00DE476F">
        <w:t>5</w:t>
      </w:r>
      <w:r>
        <w:t>.</w:t>
      </w:r>
    </w:p>
    <w:p w:rsidR="007C2BD8" w:rsidRPr="007C2BD8" w:rsidRDefault="007C2BD8" w:rsidP="007919B9">
      <w:pPr>
        <w:ind w:firstLine="567"/>
        <w:contextualSpacing/>
        <w:jc w:val="both"/>
        <w:rPr>
          <w:color w:val="000000" w:themeColor="text1"/>
          <w:sz w:val="28"/>
          <w:szCs w:val="28"/>
        </w:rPr>
      </w:pP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D2380B">
        <w:rPr>
          <w:sz w:val="28"/>
          <w:szCs w:val="28"/>
        </w:rPr>
        <w:t>а</w:t>
      </w:r>
      <w:r w:rsidR="0044255F" w:rsidRPr="008B5AE5">
        <w:rPr>
          <w:sz w:val="28"/>
          <w:szCs w:val="28"/>
        </w:rPr>
        <w:t xml:space="preserve"> закупів</w:t>
      </w:r>
      <w:r w:rsidR="00D2380B">
        <w:rPr>
          <w:sz w:val="28"/>
          <w:szCs w:val="28"/>
        </w:rPr>
        <w:t>лі:</w:t>
      </w:r>
    </w:p>
    <w:p w:rsidR="00D2380B" w:rsidRPr="00CB5B84" w:rsidRDefault="007C2BD8" w:rsidP="00D2380B">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284162" w:rsidRPr="00284162">
        <w:rPr>
          <w:rFonts w:eastAsia="Calibri"/>
          <w:color w:val="000000"/>
          <w:sz w:val="28"/>
          <w:szCs w:val="28"/>
        </w:rPr>
        <w:t>Послуги охорони приміщення бюджетної установи за адресою: вул. Індустріальна, 7, м. Глухів, Сумська обл.</w:t>
      </w:r>
      <w:r w:rsidR="00104B41" w:rsidRPr="00CD66B9">
        <w:rPr>
          <w:rFonts w:eastAsia="Calibri"/>
          <w:color w:val="000000"/>
          <w:sz w:val="28"/>
          <w:szCs w:val="28"/>
        </w:rPr>
        <w:t>»</w:t>
      </w:r>
      <w:r w:rsidR="00104B41">
        <w:rPr>
          <w:rFonts w:eastAsia="Calibri"/>
          <w:color w:val="000000"/>
          <w:sz w:val="28"/>
          <w:szCs w:val="28"/>
        </w:rPr>
        <w:t xml:space="preserve"> </w:t>
      </w:r>
      <w:r w:rsidR="00104B41" w:rsidRPr="001B6A9D">
        <w:rPr>
          <w:rFonts w:eastAsia="Calibri"/>
          <w:color w:val="000000"/>
          <w:sz w:val="28"/>
          <w:szCs w:val="28"/>
        </w:rPr>
        <w:t>за кодом ДК 021:2015</w:t>
      </w:r>
      <w:r w:rsidR="00104B41">
        <w:rPr>
          <w:rFonts w:eastAsia="Calibri"/>
          <w:color w:val="000000"/>
          <w:sz w:val="28"/>
          <w:szCs w:val="28"/>
        </w:rPr>
        <w:t xml:space="preserve"> –</w:t>
      </w:r>
      <w:r w:rsidR="00CD66B9" w:rsidRPr="00CD66B9">
        <w:rPr>
          <w:rStyle w:val="valignt"/>
          <w:rFonts w:eastAsia="Batang"/>
          <w:sz w:val="28"/>
          <w:szCs w:val="28"/>
        </w:rPr>
        <w:t>79710000-4 Охоронні послуги</w:t>
      </w:r>
      <w:r w:rsidR="00A9415E">
        <w:rPr>
          <w:rFonts w:eastAsia="Calibri"/>
          <w:color w:val="000000"/>
          <w:sz w:val="28"/>
          <w:szCs w:val="28"/>
        </w:rPr>
        <w:t xml:space="preserve"> </w:t>
      </w:r>
      <w:r w:rsidR="00D2380B" w:rsidRPr="00CB5B84">
        <w:rPr>
          <w:sz w:val="28"/>
          <w:szCs w:val="28"/>
        </w:rPr>
        <w:t>відповідає</w:t>
      </w:r>
      <w:r w:rsidR="00DE476F">
        <w:rPr>
          <w:sz w:val="28"/>
          <w:szCs w:val="28"/>
        </w:rPr>
        <w:t xml:space="preserve"> очікуваному</w:t>
      </w:r>
      <w:r w:rsidR="00D2380B" w:rsidRPr="00CB5B84">
        <w:rPr>
          <w:sz w:val="28"/>
          <w:szCs w:val="28"/>
        </w:rPr>
        <w:t xml:space="preserve"> розрахунку видатків до кошторису Сумської митниці на 202</w:t>
      </w:r>
      <w:r w:rsidR="00DE476F">
        <w:rPr>
          <w:sz w:val="28"/>
          <w:szCs w:val="28"/>
        </w:rPr>
        <w:t>5</w:t>
      </w:r>
      <w:r w:rsidR="00D2380B" w:rsidRPr="00CB5B84">
        <w:rPr>
          <w:sz w:val="28"/>
          <w:szCs w:val="28"/>
        </w:rPr>
        <w:t xml:space="preserve"> рік (загальний фонд) за КПКВК 3506010 «Керівництво та управління у сфері митної політики».</w:t>
      </w:r>
    </w:p>
    <w:p w:rsidR="00A9415E" w:rsidRDefault="00A9415E" w:rsidP="00A9415E">
      <w:pPr>
        <w:tabs>
          <w:tab w:val="left" w:pos="360"/>
          <w:tab w:val="left" w:pos="720"/>
        </w:tabs>
        <w:contextualSpacing/>
        <w:jc w:val="both"/>
        <w:rPr>
          <w:rFonts w:eastAsia="Calibri"/>
          <w:color w:val="000000"/>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0864AF">
        <w:rPr>
          <w:sz w:val="28"/>
          <w:szCs w:val="28"/>
        </w:rPr>
        <w:t>1</w:t>
      </w:r>
      <w:r w:rsidR="00DE476F">
        <w:rPr>
          <w:sz w:val="28"/>
          <w:szCs w:val="28"/>
        </w:rPr>
        <w:t>8</w:t>
      </w:r>
      <w:r w:rsidR="000864AF">
        <w:rPr>
          <w:sz w:val="28"/>
          <w:szCs w:val="28"/>
        </w:rPr>
        <w:t>000</w:t>
      </w:r>
      <w:r w:rsidR="000B1694">
        <w:rPr>
          <w:sz w:val="28"/>
          <w:szCs w:val="28"/>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4B14B0" w:rsidRDefault="004B14B0" w:rsidP="007919B9">
      <w:pPr>
        <w:ind w:firstLine="567"/>
        <w:contextualSpacing/>
        <w:jc w:val="both"/>
      </w:pPr>
    </w:p>
    <w:p w:rsidR="007B3889" w:rsidRPr="007C2BD8"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DE476F">
        <w:rPr>
          <w:sz w:val="28"/>
          <w:szCs w:val="28"/>
        </w:rPr>
        <w:t>і</w:t>
      </w:r>
      <w:r w:rsidR="005B6B5A" w:rsidRPr="005B6B5A">
        <w:rPr>
          <w:sz w:val="28"/>
          <w:szCs w:val="28"/>
        </w:rPr>
        <w:t xml:space="preserve"> </w:t>
      </w:r>
      <w:r w:rsidR="00DE476F">
        <w:rPr>
          <w:sz w:val="28"/>
          <w:szCs w:val="28"/>
        </w:rPr>
        <w:t xml:space="preserve">послуги </w:t>
      </w:r>
      <w:r w:rsidR="005B6B5A" w:rsidRPr="005B6B5A">
        <w:rPr>
          <w:sz w:val="28"/>
          <w:szCs w:val="28"/>
        </w:rPr>
        <w:t>в мережі Інтернет</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43" w:rsidRDefault="00220243">
      <w:r>
        <w:separator/>
      </w:r>
    </w:p>
  </w:endnote>
  <w:endnote w:type="continuationSeparator" w:id="0">
    <w:p w:rsidR="00220243" w:rsidRDefault="0022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43" w:rsidRDefault="00220243">
      <w:r>
        <w:separator/>
      </w:r>
    </w:p>
  </w:footnote>
  <w:footnote w:type="continuationSeparator" w:id="0">
    <w:p w:rsidR="00220243" w:rsidRDefault="00220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4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162"/>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9BC"/>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16C"/>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76F"/>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0B32"/>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2024-12-30T14:31:00Z</dcterms:modified>
</cp:coreProperties>
</file>