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CE1A06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sdt>
              <w:sdtPr>
                <w:rPr>
                  <w:rFonts w:cs="Times New Roman"/>
                  <w:color w:val="333333"/>
                  <w:bdr w:val="none" w:sz="0" w:space="0" w:color="auto" w:frame="1"/>
                </w:rPr>
                <w:id w:val="74634284"/>
                <w:placeholder>
                  <w:docPart w:val="4CA196390AFC4C2ABE8AA8EA00596F00"/>
                </w:placeholder>
                <w:text/>
              </w:sdtPr>
              <w:sdtContent>
                <w:proofErr w:type="spellStart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>Повірка</w:t>
                </w:r>
                <w:proofErr w:type="spellEnd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 xml:space="preserve"> </w:t>
                </w:r>
                <w:proofErr w:type="spellStart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>та</w:t>
                </w:r>
                <w:proofErr w:type="spellEnd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 xml:space="preserve"> </w:t>
                </w:r>
                <w:proofErr w:type="spellStart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>наладка</w:t>
                </w:r>
                <w:proofErr w:type="spellEnd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 xml:space="preserve"> </w:t>
                </w:r>
                <w:proofErr w:type="spellStart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>газового</w:t>
                </w:r>
                <w:proofErr w:type="spellEnd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 xml:space="preserve"> </w:t>
                </w:r>
                <w:proofErr w:type="spellStart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>коректора</w:t>
                </w:r>
                <w:proofErr w:type="spellEnd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 xml:space="preserve"> </w:t>
                </w:r>
                <w:proofErr w:type="spellStart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>та</w:t>
                </w:r>
                <w:proofErr w:type="spellEnd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 xml:space="preserve"> </w:t>
                </w:r>
                <w:proofErr w:type="spellStart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>датчиків</w:t>
                </w:r>
                <w:proofErr w:type="spellEnd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 xml:space="preserve"> </w:t>
                </w:r>
                <w:proofErr w:type="spellStart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>обчислювача</w:t>
                </w:r>
                <w:proofErr w:type="spellEnd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 xml:space="preserve"> </w:t>
                </w:r>
                <w:proofErr w:type="spellStart"/>
                <w:r w:rsidR="00283338" w:rsidRPr="00283338">
                  <w:rPr>
                    <w:rFonts w:cs="Times New Roman"/>
                    <w:color w:val="333333"/>
                    <w:bdr w:val="none" w:sz="0" w:space="0" w:color="auto" w:frame="1"/>
                  </w:rPr>
                  <w:t>газу</w:t>
                </w:r>
                <w:proofErr w:type="spellEnd"/>
              </w:sdtContent>
            </w:sdt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283338" w:rsidRDefault="00283338" w:rsidP="00A52A66">
            <w:pPr>
              <w:pStyle w:val="Standard"/>
              <w:jc w:val="both"/>
              <w:rPr>
                <w:lang w:val="ru-RU"/>
              </w:rPr>
            </w:pPr>
            <w:r w:rsidRPr="00283338">
              <w:rPr>
                <w:rFonts w:cs="Times New Roman"/>
              </w:rPr>
              <w:t xml:space="preserve">50410000-2 - </w:t>
            </w:r>
            <w:proofErr w:type="spellStart"/>
            <w:r w:rsidRPr="00283338">
              <w:rPr>
                <w:rFonts w:cs="Times New Roman"/>
              </w:rPr>
              <w:t>Послуги</w:t>
            </w:r>
            <w:proofErr w:type="spellEnd"/>
            <w:r w:rsidRPr="00283338">
              <w:rPr>
                <w:rFonts w:cs="Times New Roman"/>
              </w:rPr>
              <w:t xml:space="preserve"> з </w:t>
            </w:r>
            <w:proofErr w:type="spellStart"/>
            <w:r w:rsidRPr="00283338">
              <w:rPr>
                <w:rFonts w:cs="Times New Roman"/>
              </w:rPr>
              <w:t>ремонту</w:t>
            </w:r>
            <w:proofErr w:type="spellEnd"/>
            <w:r w:rsidRPr="00283338">
              <w:rPr>
                <w:rFonts w:cs="Times New Roman"/>
              </w:rPr>
              <w:t xml:space="preserve"> і </w:t>
            </w:r>
            <w:proofErr w:type="spellStart"/>
            <w:r w:rsidRPr="00283338">
              <w:rPr>
                <w:rFonts w:cs="Times New Roman"/>
              </w:rPr>
              <w:t>технічного</w:t>
            </w:r>
            <w:proofErr w:type="spellEnd"/>
            <w:r w:rsidRPr="00283338">
              <w:rPr>
                <w:rFonts w:cs="Times New Roman"/>
              </w:rPr>
              <w:t xml:space="preserve"> </w:t>
            </w:r>
            <w:proofErr w:type="spellStart"/>
            <w:r w:rsidRPr="00283338">
              <w:rPr>
                <w:rFonts w:cs="Times New Roman"/>
              </w:rPr>
              <w:t>обслуговування</w:t>
            </w:r>
            <w:proofErr w:type="spellEnd"/>
            <w:r w:rsidRPr="00283338">
              <w:rPr>
                <w:rFonts w:cs="Times New Roman"/>
              </w:rPr>
              <w:t xml:space="preserve"> </w:t>
            </w:r>
            <w:proofErr w:type="spellStart"/>
            <w:r w:rsidRPr="00283338">
              <w:rPr>
                <w:rFonts w:cs="Times New Roman"/>
              </w:rPr>
              <w:t>вимірювальних</w:t>
            </w:r>
            <w:proofErr w:type="spellEnd"/>
            <w:r w:rsidRPr="00283338">
              <w:rPr>
                <w:rFonts w:cs="Times New Roman"/>
              </w:rPr>
              <w:t xml:space="preserve">, </w:t>
            </w:r>
            <w:proofErr w:type="spellStart"/>
            <w:r w:rsidRPr="00283338">
              <w:rPr>
                <w:rFonts w:cs="Times New Roman"/>
              </w:rPr>
              <w:t>випробувальних</w:t>
            </w:r>
            <w:proofErr w:type="spellEnd"/>
            <w:r w:rsidRPr="00283338">
              <w:rPr>
                <w:rFonts w:cs="Times New Roman"/>
              </w:rPr>
              <w:t xml:space="preserve"> і </w:t>
            </w:r>
            <w:proofErr w:type="spellStart"/>
            <w:r w:rsidRPr="00283338">
              <w:rPr>
                <w:rFonts w:cs="Times New Roman"/>
              </w:rPr>
              <w:t>контрольних</w:t>
            </w:r>
            <w:proofErr w:type="spellEnd"/>
            <w:r w:rsidRPr="00283338">
              <w:rPr>
                <w:rFonts w:cs="Times New Roman"/>
              </w:rPr>
              <w:t xml:space="preserve"> </w:t>
            </w:r>
            <w:proofErr w:type="spellStart"/>
            <w:r w:rsidRPr="00283338">
              <w:rPr>
                <w:rFonts w:cs="Times New Roman"/>
              </w:rPr>
              <w:t>приладів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326271" w:rsidP="00A52A66">
            <w:pPr>
              <w:pStyle w:val="Standard"/>
              <w:jc w:val="both"/>
              <w:rPr>
                <w:b/>
                <w:lang w:val="ru-RU"/>
              </w:rPr>
            </w:pPr>
            <w:r>
              <w:t xml:space="preserve">ID: </w:t>
            </w:r>
            <w:hyperlink r:id="rId8" w:tgtFrame="_blank" w:history="1">
              <w:r w:rsidR="003A11C2">
                <w:rPr>
                  <w:rStyle w:val="a8"/>
                </w:rPr>
                <w:t>UA-2025-02-05-006400-a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E1773C" w:rsidRPr="00E1773C" w:rsidRDefault="00283338" w:rsidP="00E17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73C">
              <w:rPr>
                <w:rFonts w:ascii="Times New Roman" w:hAnsi="Times New Roman"/>
                <w:sz w:val="24"/>
                <w:szCs w:val="24"/>
              </w:rPr>
              <w:t xml:space="preserve">Послуги за вищезазначеною закупівлею належать до переліку регламентних робіт та виконуються відповідно до вимог </w:t>
            </w:r>
            <w:r w:rsidR="00E1773C" w:rsidRPr="00E1773C">
              <w:rPr>
                <w:rFonts w:ascii="Times New Roman" w:hAnsi="Times New Roman"/>
                <w:sz w:val="24"/>
                <w:szCs w:val="24"/>
              </w:rPr>
              <w:t xml:space="preserve">Закону України  «Про метрологію та метрологічну діяльність», «Порядку проведення повірки законодавчо регульованих засобів вимірювальної техніки, що перебувають в експлуатації  та оформлення її результатів від 08.02.2016 № 193», «Переліку категорій законодавчо регульованих засобів вимірювальної техніки, що підлягають періодичній повірці від  04 червня 2015 року № 374 та нормативних документів у сфері законодавчо регульованої метрології». </w:t>
            </w:r>
          </w:p>
          <w:p w:rsidR="00E1773C" w:rsidRPr="00E1773C" w:rsidRDefault="00E1773C" w:rsidP="00E17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73C">
              <w:rPr>
                <w:rFonts w:ascii="Times New Roman" w:hAnsi="Times New Roman"/>
                <w:sz w:val="24"/>
                <w:szCs w:val="24"/>
              </w:rPr>
              <w:t xml:space="preserve">Прийом Замовником наданих Виконавцем послуг оформлюється актом наданих послуг. </w:t>
            </w:r>
          </w:p>
          <w:p w:rsidR="00E1773C" w:rsidRPr="00E1773C" w:rsidRDefault="00E1773C" w:rsidP="00E17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73C">
              <w:rPr>
                <w:rFonts w:ascii="Times New Roman" w:hAnsi="Times New Roman"/>
                <w:sz w:val="24"/>
                <w:szCs w:val="24"/>
              </w:rPr>
              <w:t>Оформлення результатів повірки, згідно з Порядком проведення повірки законодавчо регульованих засобів вимірювальної техніки, що перебувають в експлуатації, та оформлення її результатів, затвердженим Наказом Міністерства економічного розвитку і торгівлі України № 193 від 08.02.2016 року. Результати проведення повірки повинні оформлятись Свідоцтвом про повірку законодавчо регульованого засобу вимірювальн</w:t>
            </w:r>
            <w:r>
              <w:rPr>
                <w:rFonts w:ascii="Times New Roman" w:hAnsi="Times New Roman"/>
                <w:sz w:val="24"/>
                <w:szCs w:val="24"/>
              </w:rPr>
              <w:t>ої техніки встановленого зразка.</w:t>
            </w:r>
            <w:r w:rsidRPr="00E177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423C" w:rsidRPr="003A11C2" w:rsidRDefault="00E1773C" w:rsidP="00E1773C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E1773C">
              <w:t xml:space="preserve">Технічні, якісні характеристики предмета закупівлі повинні відповідати встановленим/зареєстрованим діючим нормативним актам діючого законодавства (державним стандартам (технічним умовам)), застосування заходів із захисту довкілля. </w:t>
            </w:r>
            <w:bookmarkStart w:id="0" w:name="_GoBack"/>
            <w:bookmarkEnd w:id="0"/>
          </w:p>
          <w:p w:rsidR="003C20B5" w:rsidRPr="003C20B5" w:rsidRDefault="003C20B5" w:rsidP="00E1773C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5F4C5C">
              <w:t>Інші технічні, якісні характеристики предмету</w:t>
            </w:r>
            <w:r>
              <w:t xml:space="preserve"> закупівлі зазначені в Додатку </w:t>
            </w:r>
            <w:r w:rsidR="00AE12D4" w:rsidRPr="00AE12D4">
              <w:rPr>
                <w:lang w:val="ru-RU"/>
              </w:rPr>
              <w:t>5</w:t>
            </w:r>
            <w:r w:rsidRPr="005F4C5C">
              <w:t xml:space="preserve"> до Оголошення про проведення відкритих торгів з особливостями.</w:t>
            </w: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3A11C2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en-US"/>
              </w:rPr>
              <w:t>50 000</w:t>
            </w:r>
            <w:proofErr w:type="gramStart"/>
            <w:r>
              <w:rPr>
                <w:bCs/>
                <w:lang w:val="uk-UA"/>
              </w:rPr>
              <w:t>,</w:t>
            </w:r>
            <w:r w:rsidR="00FD52E2">
              <w:rPr>
                <w:bCs/>
                <w:lang w:val="uk-UA"/>
              </w:rPr>
              <w:t>00</w:t>
            </w:r>
            <w:proofErr w:type="gramEnd"/>
            <w:r w:rsidR="00FD52E2">
              <w:rPr>
                <w:bCs/>
                <w:lang w:val="uk-UA"/>
              </w:rPr>
              <w:t xml:space="preserve">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3A11C2" w:rsidRPr="00893E3E" w:rsidRDefault="003A11C2" w:rsidP="003A11C2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3A11C2" w:rsidRPr="00B147ED" w:rsidRDefault="003A11C2" w:rsidP="003A11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lastRenderedPageBreak/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3A11C2" w:rsidRPr="00F7469C" w:rsidRDefault="003A11C2" w:rsidP="003A11C2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3A11C2" w:rsidP="003A11C2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Pr="003A11C2" w:rsidRDefault="008559CE" w:rsidP="008559CE">
      <w:pPr>
        <w:pStyle w:val="Default"/>
        <w:jc w:val="both"/>
        <w:rPr>
          <w:lang w:val="ru-RU"/>
        </w:rPr>
      </w:pPr>
    </w:p>
    <w:p w:rsidR="003C20B5" w:rsidRPr="003A11C2" w:rsidRDefault="003C20B5" w:rsidP="008559CE">
      <w:pPr>
        <w:pStyle w:val="Default"/>
        <w:jc w:val="both"/>
        <w:rPr>
          <w:lang w:val="ru-RU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326271" w:rsidRDefault="00326271" w:rsidP="008559CE">
      <w:pPr>
        <w:pStyle w:val="Default"/>
        <w:jc w:val="both"/>
      </w:pPr>
    </w:p>
    <w:p w:rsidR="003C20B5" w:rsidRDefault="003C20B5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3C20B5" w:rsidP="008559CE">
      <w:pPr>
        <w:pStyle w:val="Default"/>
        <w:jc w:val="both"/>
      </w:pPr>
      <w:r>
        <w:t>відділу</w:t>
      </w:r>
      <w:r w:rsidR="00326271">
        <w:t xml:space="preserve"> </w:t>
      </w:r>
      <w:r w:rsidR="008559CE">
        <w:t xml:space="preserve">управління </w:t>
      </w:r>
      <w:proofErr w:type="spellStart"/>
      <w:r w:rsidR="008559CE"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33C" w:rsidRDefault="0055233C">
      <w:pPr>
        <w:spacing w:line="240" w:lineRule="auto"/>
      </w:pPr>
      <w:r>
        <w:separator/>
      </w:r>
    </w:p>
  </w:endnote>
  <w:endnote w:type="continuationSeparator" w:id="0">
    <w:p w:rsidR="0055233C" w:rsidRDefault="005523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33C" w:rsidRDefault="0055233C">
      <w:pPr>
        <w:spacing w:line="240" w:lineRule="auto"/>
      </w:pPr>
      <w:r>
        <w:separator/>
      </w:r>
    </w:p>
  </w:footnote>
  <w:footnote w:type="continuationSeparator" w:id="0">
    <w:p w:rsidR="0055233C" w:rsidRDefault="005523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00AA"/>
    <w:multiLevelType w:val="multilevel"/>
    <w:tmpl w:val="4C1A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3EFA3571"/>
    <w:multiLevelType w:val="hybridMultilevel"/>
    <w:tmpl w:val="510E022C"/>
    <w:lvl w:ilvl="0" w:tplc="44108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611F7"/>
    <w:rsid w:val="0006189B"/>
    <w:rsid w:val="00066D2F"/>
    <w:rsid w:val="00093AE1"/>
    <w:rsid w:val="000B0065"/>
    <w:rsid w:val="000D4DE0"/>
    <w:rsid w:val="000D4F53"/>
    <w:rsid w:val="000D66C6"/>
    <w:rsid w:val="0014606C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11FFE"/>
    <w:rsid w:val="00274C03"/>
    <w:rsid w:val="00283338"/>
    <w:rsid w:val="002D2AC5"/>
    <w:rsid w:val="002F3886"/>
    <w:rsid w:val="00316C87"/>
    <w:rsid w:val="00326271"/>
    <w:rsid w:val="00327DD8"/>
    <w:rsid w:val="00344B5B"/>
    <w:rsid w:val="0035353A"/>
    <w:rsid w:val="00353892"/>
    <w:rsid w:val="00382122"/>
    <w:rsid w:val="00382C8F"/>
    <w:rsid w:val="003902BB"/>
    <w:rsid w:val="003A11C2"/>
    <w:rsid w:val="003A37B4"/>
    <w:rsid w:val="003B53B3"/>
    <w:rsid w:val="003C0E29"/>
    <w:rsid w:val="003C20B5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5233C"/>
    <w:rsid w:val="0055380F"/>
    <w:rsid w:val="0056683F"/>
    <w:rsid w:val="0059489B"/>
    <w:rsid w:val="005A21BD"/>
    <w:rsid w:val="005B4276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8F0FB0"/>
    <w:rsid w:val="0091521F"/>
    <w:rsid w:val="009245E8"/>
    <w:rsid w:val="00927042"/>
    <w:rsid w:val="009317CF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D2B20"/>
    <w:rsid w:val="00AD75D3"/>
    <w:rsid w:val="00AE0A72"/>
    <w:rsid w:val="00AE12D4"/>
    <w:rsid w:val="00AF6903"/>
    <w:rsid w:val="00B24517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1092"/>
    <w:rsid w:val="00C85A9F"/>
    <w:rsid w:val="00CC3F49"/>
    <w:rsid w:val="00CE1A06"/>
    <w:rsid w:val="00CF196E"/>
    <w:rsid w:val="00CF1D65"/>
    <w:rsid w:val="00D31398"/>
    <w:rsid w:val="00D407F5"/>
    <w:rsid w:val="00D64230"/>
    <w:rsid w:val="00DE1144"/>
    <w:rsid w:val="00DF3088"/>
    <w:rsid w:val="00E14933"/>
    <w:rsid w:val="00E1773C"/>
    <w:rsid w:val="00E340B0"/>
    <w:rsid w:val="00E71020"/>
    <w:rsid w:val="00EA072D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styleId="a9">
    <w:name w:val="Strong"/>
    <w:basedOn w:val="a0"/>
    <w:uiPriority w:val="22"/>
    <w:qFormat/>
    <w:rsid w:val="009317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2-05-00640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A196390AFC4C2ABE8AA8EA00596F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3ABB30-69B4-4430-81C2-AE728BDCF5DE}"/>
      </w:docPartPr>
      <w:docPartBody>
        <w:p w:rsidR="006837E8" w:rsidRDefault="00A16D6B" w:rsidP="00A16D6B">
          <w:pPr>
            <w:pStyle w:val="4CA196390AFC4C2ABE8AA8EA00596F00"/>
          </w:pPr>
          <w:r w:rsidRPr="00F63569">
            <w:rPr>
              <w:rStyle w:val="a3"/>
              <w:color w:val="FF0000"/>
            </w:rPr>
            <w:t>зазначити код та його назву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16D6B"/>
    <w:rsid w:val="00430D60"/>
    <w:rsid w:val="006837E8"/>
    <w:rsid w:val="00920C8C"/>
    <w:rsid w:val="00A16D6B"/>
    <w:rsid w:val="00DF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6D6B"/>
  </w:style>
  <w:style w:type="paragraph" w:customStyle="1" w:styleId="4CA196390AFC4C2ABE8AA8EA00596F00">
    <w:name w:val="4CA196390AFC4C2ABE8AA8EA00596F00"/>
    <w:rsid w:val="00A16D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2419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8</cp:revision>
  <cp:lastPrinted>2025-02-05T12:48:00Z</cp:lastPrinted>
  <dcterms:created xsi:type="dcterms:W3CDTF">2023-04-03T12:29:00Z</dcterms:created>
  <dcterms:modified xsi:type="dcterms:W3CDTF">2025-02-05T12:48:00Z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