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B6962" w:rsidRDefault="006313E5" w:rsidP="0013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21C8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КОМУНАЛЬНІ ПОСЛУГИ З УПРАВЛІННЯ ПОБУТОВИМИ ВІДХОДАМИ, А САМЕ: ЗІ ЗБИРАННЯ, ПЕРЕВЕЗЕННЯ ТА ВИДАЛЕННЯ ПОБУТОВИХ ВІДХОДІВ</w:t>
      </w:r>
      <w:r w:rsidR="00021C8D" w:rsidRPr="00021C8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131FD5" w:rsidRPr="00021C8D" w:rsidRDefault="00216341" w:rsidP="0013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21C8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 КОДОМ ДК 021:2015 90510000-5 УТИЛІЗАЦІЯ/ВИДАЛЕННЯ СМІТТЯ ТА ПОВОДЖЕННЯ ЗІ СМІТТЯМ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"/>
        <w:gridCol w:w="2088"/>
        <w:gridCol w:w="7128"/>
      </w:tblGrid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6911" w:type="dxa"/>
          </w:tcPr>
          <w:p w:rsidR="006E7A9F" w:rsidRPr="00912641" w:rsidRDefault="00021C8D" w:rsidP="000D3942">
            <w:pPr>
              <w:ind w:firstLine="6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C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UA-2025-02-07-013377-a</w:t>
            </w:r>
          </w:p>
        </w:tc>
      </w:tr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6911" w:type="dxa"/>
          </w:tcPr>
          <w:p w:rsidR="005444AB" w:rsidRPr="00DE4B2A" w:rsidRDefault="0080014F" w:rsidP="00DE4B2A">
            <w:pPr>
              <w:ind w:firstLine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7573FD" w:rsidRPr="007573F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Комунальні послуги з управління побутовими відходами, а саме: зі збирання, перевезення та видалення побутових відходів</w:t>
            </w:r>
            <w:r w:rsidR="007573F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кодом</w:t>
            </w:r>
            <w:r w:rsidR="0037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57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</w:t>
            </w:r>
            <w:r w:rsidR="007573FD" w:rsidRPr="00757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укладення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договору </w:t>
            </w:r>
            <w:r w:rsidR="00130C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о 31.12.202</w:t>
            </w:r>
            <w:r w:rsidR="00130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включно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2A44" w:rsidRDefault="00711A5F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573FD" w:rsidRDefault="00DE4B2A" w:rsidP="006B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757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67400, Одеська обл., м. </w:t>
            </w:r>
            <w:r w:rsidR="007573FD" w:rsidRPr="00757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Роздільна, вул.</w:t>
            </w:r>
            <w:r w:rsidR="00757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7573FD" w:rsidRPr="00757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Європейська, 37-А</w:t>
            </w:r>
            <w:r w:rsidR="00757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2543" w:rsidRDefault="002A765A" w:rsidP="006B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</w:t>
            </w:r>
            <w:r w:rsidR="00BE73DD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бсяг надання послуги: 25</w:t>
            </w:r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куб. м (розраховано відповідно до потреб Замовника з урахуванням </w:t>
            </w:r>
            <w:proofErr w:type="spellStart"/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закупів</w:t>
            </w:r>
            <w:r w:rsidR="00FB1DF9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е</w:t>
            </w:r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л</w:t>
            </w:r>
            <w:r w:rsidR="00FB1DF9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ь</w:t>
            </w:r>
            <w:proofErr w:type="spellEnd"/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</w:t>
            </w:r>
            <w:r w:rsidR="00AE4F9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аналогічної послуги у попередні роки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та з урахуванням 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продовж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ення дії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договору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, укладеного у 2024 році,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на строк достатній для проведення процедури закупівлі на початку 2025 року, в обсязі, що не перевищує 2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0 відсотків суми, визначеної в д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оговорі</w:t>
            </w:r>
            <w:r w:rsidR="00AE4F9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).</w:t>
            </w:r>
          </w:p>
          <w:p w:rsidR="005E20D7" w:rsidRDefault="005E20D7" w:rsidP="006B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</w:p>
          <w:p w:rsidR="00E82989" w:rsidRPr="00422EC2" w:rsidRDefault="00E82989" w:rsidP="00E829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r w:rsidRPr="00422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Дислокація та кількість контейнерів, графік вивезення та обсяг ТПВ</w:t>
            </w:r>
          </w:p>
          <w:bookmarkEnd w:id="0"/>
          <w:p w:rsidR="00E82989" w:rsidRPr="00E82989" w:rsidRDefault="00E82989" w:rsidP="00E82989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tbl>
            <w:tblPr>
              <w:tblW w:w="6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7"/>
              <w:gridCol w:w="1408"/>
              <w:gridCol w:w="1151"/>
              <w:gridCol w:w="1161"/>
              <w:gridCol w:w="1152"/>
            </w:tblGrid>
            <w:tr w:rsidR="00E82989" w:rsidRPr="00E82989" w:rsidTr="008407AB">
              <w:trPr>
                <w:trHeight w:val="831"/>
              </w:trPr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Дислокація контейнерів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Ємкість контейнерів, м</w:t>
                  </w:r>
                  <w:r w:rsidRPr="00E82989">
                    <w:rPr>
                      <w:rFonts w:ascii="Times New Roman" w:eastAsia="Times New Roman" w:hAnsi="Times New Roman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Кіл-</w:t>
                  </w:r>
                  <w:proofErr w:type="spellStart"/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сть</w:t>
                  </w:r>
                  <w:proofErr w:type="spellEnd"/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контейне</w:t>
                  </w:r>
                  <w:proofErr w:type="spellEnd"/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-рів,(од.)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Графік вивезення ТПВ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vertAlign w:val="superscript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Кількість, </w:t>
                  </w:r>
                  <w:r w:rsidRPr="00E82989">
                    <w:rPr>
                      <w:rFonts w:ascii="Times New Roman" w:eastAsia="Times New Roman" w:hAnsi="Times New Roman" w:cs="Times New Roman"/>
                    </w:rPr>
                    <w:t>м</w:t>
                  </w:r>
                  <w:r w:rsidRPr="00E82989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  <w:tr w:rsidR="00E82989" w:rsidRPr="00E82989" w:rsidTr="008407AB">
              <w:trPr>
                <w:cantSplit/>
                <w:trHeight w:val="940"/>
              </w:trPr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82989" w:rsidRPr="00E82989" w:rsidRDefault="00E82989" w:rsidP="00E8298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67400, Одеська обл., м. Роздільна, вул. Європейська, 37-А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0,75</w:t>
                  </w:r>
                </w:p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Середа</w:t>
                  </w:r>
                </w:p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з 08:00 годин</w:t>
                  </w:r>
                  <w:r w:rsidRPr="00E82989">
                    <w:rPr>
                      <w:rFonts w:ascii="Times New Roman" w:eastAsia="Times New Roman" w:hAnsi="Times New Roman" w:cs="Times New Roman"/>
                    </w:rPr>
                    <w:t>и</w:t>
                  </w: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до 15:00 годин</w:t>
                  </w:r>
                  <w:r w:rsidRPr="00E82989">
                    <w:rPr>
                      <w:rFonts w:ascii="Times New Roman" w:eastAsia="Times New Roman" w:hAnsi="Times New Roman" w:cs="Times New Roman"/>
                    </w:rPr>
                    <w:t>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E82989">
                    <w:rPr>
                      <w:rFonts w:ascii="Times New Roman" w:eastAsia="Times New Roman" w:hAnsi="Times New Roman" w:cs="Times New Roman"/>
                      <w:lang w:val="uk-UA"/>
                    </w:rPr>
                    <w:t>25</w:t>
                  </w:r>
                </w:p>
                <w:p w:rsidR="00E82989" w:rsidRPr="00E82989" w:rsidRDefault="00E82989" w:rsidP="00E8298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</w:p>
              </w:tc>
            </w:tr>
          </w:tbl>
          <w:p w:rsidR="005E20D7" w:rsidRPr="002A765A" w:rsidRDefault="005E20D7" w:rsidP="005E2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center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</w:p>
          <w:p w:rsidR="009534A5" w:rsidRPr="009534A5" w:rsidRDefault="009534A5" w:rsidP="00953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9534A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lastRenderedPageBreak/>
              <w:t>Строк надання послуги: з моменту укладення договору по 31.12.2025 включно.</w:t>
            </w:r>
          </w:p>
          <w:p w:rsidR="009534A5" w:rsidRPr="009534A5" w:rsidRDefault="009534A5" w:rsidP="009534A5">
            <w:pPr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Учасник/Виконавець надає Замовнику послуги з управління побутовими відходами, великогабаритних та ремонтних відходів.</w:t>
            </w:r>
          </w:p>
          <w:p w:rsidR="009534A5" w:rsidRPr="009534A5" w:rsidRDefault="009534A5" w:rsidP="009534A5">
            <w:pPr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Послуги з управління побутовими відходами надаються за </w:t>
            </w:r>
            <w:proofErr w:type="spellStart"/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безконтейнерною</w:t>
            </w:r>
            <w:proofErr w:type="spellEnd"/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та контейнерною схемами.</w:t>
            </w:r>
          </w:p>
          <w:p w:rsidR="009534A5" w:rsidRPr="009534A5" w:rsidRDefault="009534A5" w:rsidP="009534A5">
            <w:pPr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Для вивезення твердих відходів за </w:t>
            </w:r>
            <w:proofErr w:type="spellStart"/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безконтейнерною</w:t>
            </w:r>
            <w:proofErr w:type="spellEnd"/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схемою Замовник зобов'язаний виставити у місцях, погоджених з Учасником/Виконавцем, закриті ємкості з відходами місткістю не більш як 0,12 куб. метра, або подавати у розібраному вигляді </w:t>
            </w:r>
            <w:proofErr w:type="spellStart"/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компактно</w:t>
            </w:r>
            <w:proofErr w:type="spellEnd"/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упаковані відходи на спецмашину у місцях, погоджених з Учасником/Виконавцем. Стоянка спецмашини відбувається згідно з графіком. Завантаження відходів здійснюється Учасником/Виконавцем.</w:t>
            </w:r>
          </w:p>
          <w:p w:rsidR="009534A5" w:rsidRPr="009534A5" w:rsidRDefault="009534A5" w:rsidP="009534A5">
            <w:pPr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Вивезення великогабаритних і ремонтних відходів виконується за попередньою домовленістю. Оплата здійснюється згідно встановленого тарифу.</w:t>
            </w:r>
          </w:p>
          <w:p w:rsidR="00560849" w:rsidRPr="009534A5" w:rsidRDefault="009534A5" w:rsidP="009534A5">
            <w:pPr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534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Для видалення ТПВ за контейнерною схемою використовуються технічно справні контейнери ємкістю:0,75 куб. м., що належать </w:t>
            </w:r>
            <w:r w:rsidRPr="00953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Замовнику у кількості 2 (дві) одиниці.</w:t>
            </w:r>
          </w:p>
        </w:tc>
      </w:tr>
      <w:tr w:rsidR="00912641" w:rsidRPr="006B2543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6911" w:type="dxa"/>
          </w:tcPr>
          <w:p w:rsidR="006E7A9F" w:rsidRPr="006B2543" w:rsidRDefault="000878CA" w:rsidP="00C57483">
            <w:pPr>
              <w:shd w:val="clear" w:color="auto" w:fill="FFFFFF"/>
              <w:spacing w:line="301" w:lineRule="atLeast"/>
              <w:ind w:firstLine="60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</w:t>
            </w:r>
            <w:r w:rsidR="00C574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итниці на 2025 рік, становить 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C574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335</w:t>
            </w: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C574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5867F4" w:rsidRPr="00422EC2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6911" w:type="dxa"/>
          </w:tcPr>
          <w:p w:rsidR="00CA76CC" w:rsidRPr="00912641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664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664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335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64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2A76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  <w:r w:rsidR="00682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97B07" w:rsidRPr="00912641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пункту 2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643461" w:rsidRDefault="003C5061" w:rsidP="0068207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зв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язку з 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обмежено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 конкуренцією на ринку послуг з управління змішаними побутовими відходами у м.</w:t>
            </w:r>
            <w:r w:rsidR="007764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82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Роздільна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неможливості отримання достатньої кількості інформації щодо актуальних ринкових цін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</w:t>
            </w:r>
            <w:r w:rsidR="00F97B07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еруючись вищевказаною Методикою, для визначення очікуваної вартості предмета закупівлі здійснювався розрахунок 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 вартості послуг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підставі закупівельних цін попередніх </w:t>
            </w:r>
            <w:proofErr w:type="spellStart"/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21C8D"/>
    <w:rsid w:val="000878CA"/>
    <w:rsid w:val="00094606"/>
    <w:rsid w:val="000C1787"/>
    <w:rsid w:val="000D3942"/>
    <w:rsid w:val="00105DE0"/>
    <w:rsid w:val="00130C1E"/>
    <w:rsid w:val="00131FD5"/>
    <w:rsid w:val="001372D9"/>
    <w:rsid w:val="00157F23"/>
    <w:rsid w:val="00171041"/>
    <w:rsid w:val="001864AF"/>
    <w:rsid w:val="00191441"/>
    <w:rsid w:val="0019145B"/>
    <w:rsid w:val="00216341"/>
    <w:rsid w:val="00222A44"/>
    <w:rsid w:val="002A765A"/>
    <w:rsid w:val="002B3D8E"/>
    <w:rsid w:val="002C0F83"/>
    <w:rsid w:val="00335384"/>
    <w:rsid w:val="00336F8E"/>
    <w:rsid w:val="00375EE3"/>
    <w:rsid w:val="003778F9"/>
    <w:rsid w:val="0038021F"/>
    <w:rsid w:val="0038791C"/>
    <w:rsid w:val="00394B51"/>
    <w:rsid w:val="003C476C"/>
    <w:rsid w:val="003C5061"/>
    <w:rsid w:val="003E14AF"/>
    <w:rsid w:val="00415284"/>
    <w:rsid w:val="00422EC2"/>
    <w:rsid w:val="00504E23"/>
    <w:rsid w:val="005444AB"/>
    <w:rsid w:val="00550147"/>
    <w:rsid w:val="00560849"/>
    <w:rsid w:val="00566961"/>
    <w:rsid w:val="00581A04"/>
    <w:rsid w:val="005867F4"/>
    <w:rsid w:val="00595EE7"/>
    <w:rsid w:val="005A27FE"/>
    <w:rsid w:val="005E20D7"/>
    <w:rsid w:val="005F4B40"/>
    <w:rsid w:val="0060692C"/>
    <w:rsid w:val="00624E09"/>
    <w:rsid w:val="00630149"/>
    <w:rsid w:val="006313E5"/>
    <w:rsid w:val="00643461"/>
    <w:rsid w:val="00682079"/>
    <w:rsid w:val="006B2543"/>
    <w:rsid w:val="006E7A9F"/>
    <w:rsid w:val="006F50D3"/>
    <w:rsid w:val="006F7AF3"/>
    <w:rsid w:val="00711A5F"/>
    <w:rsid w:val="00723A7E"/>
    <w:rsid w:val="007573FD"/>
    <w:rsid w:val="00766050"/>
    <w:rsid w:val="00772C64"/>
    <w:rsid w:val="007764A9"/>
    <w:rsid w:val="007903AE"/>
    <w:rsid w:val="007C231B"/>
    <w:rsid w:val="007C7B92"/>
    <w:rsid w:val="007D6422"/>
    <w:rsid w:val="007E7B55"/>
    <w:rsid w:val="0080014F"/>
    <w:rsid w:val="008210B9"/>
    <w:rsid w:val="00832FA7"/>
    <w:rsid w:val="008407AB"/>
    <w:rsid w:val="00844C90"/>
    <w:rsid w:val="00860A40"/>
    <w:rsid w:val="008D5F30"/>
    <w:rsid w:val="008E5560"/>
    <w:rsid w:val="00912641"/>
    <w:rsid w:val="00937340"/>
    <w:rsid w:val="009534A5"/>
    <w:rsid w:val="009E0E2B"/>
    <w:rsid w:val="009E61B3"/>
    <w:rsid w:val="009F62B5"/>
    <w:rsid w:val="00A11D77"/>
    <w:rsid w:val="00A469FA"/>
    <w:rsid w:val="00AA149C"/>
    <w:rsid w:val="00AA6395"/>
    <w:rsid w:val="00AE4F95"/>
    <w:rsid w:val="00B07FC7"/>
    <w:rsid w:val="00B10290"/>
    <w:rsid w:val="00B1032B"/>
    <w:rsid w:val="00B14F59"/>
    <w:rsid w:val="00B22008"/>
    <w:rsid w:val="00B22C89"/>
    <w:rsid w:val="00B41F86"/>
    <w:rsid w:val="00B56CF7"/>
    <w:rsid w:val="00B85481"/>
    <w:rsid w:val="00B8799D"/>
    <w:rsid w:val="00B97BD0"/>
    <w:rsid w:val="00BB6962"/>
    <w:rsid w:val="00BC080B"/>
    <w:rsid w:val="00BE73DD"/>
    <w:rsid w:val="00C14F90"/>
    <w:rsid w:val="00C57483"/>
    <w:rsid w:val="00C712E9"/>
    <w:rsid w:val="00CA15D2"/>
    <w:rsid w:val="00CA76CC"/>
    <w:rsid w:val="00CD2080"/>
    <w:rsid w:val="00CE04A2"/>
    <w:rsid w:val="00CE6895"/>
    <w:rsid w:val="00DC28E1"/>
    <w:rsid w:val="00DE4B2A"/>
    <w:rsid w:val="00E53990"/>
    <w:rsid w:val="00E66428"/>
    <w:rsid w:val="00E82989"/>
    <w:rsid w:val="00E95633"/>
    <w:rsid w:val="00F01C01"/>
    <w:rsid w:val="00F10FA9"/>
    <w:rsid w:val="00F656C3"/>
    <w:rsid w:val="00F71BBB"/>
    <w:rsid w:val="00F97B07"/>
    <w:rsid w:val="00FA2C7A"/>
    <w:rsid w:val="00FB1DF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112</cp:revision>
  <dcterms:created xsi:type="dcterms:W3CDTF">2022-12-14T12:00:00Z</dcterms:created>
  <dcterms:modified xsi:type="dcterms:W3CDTF">2025-02-10T09:15:00Z</dcterms:modified>
</cp:coreProperties>
</file>