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E0" w:rsidRDefault="00A833E0" w:rsidP="00A833E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ЗАКУПІВЛІ, РОЗМІРУ БЮДЖЕТНОГО ПРИЗНАЧЕННЯ, ОЧІКУВАНОЇ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ВАРТОСТІ ПРЕДМЕТА ЗАКУПІВЛІ</w:t>
      </w:r>
    </w:p>
    <w:p w:rsidR="00A833E0" w:rsidRDefault="00A833E0" w:rsidP="00A833E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3E0" w:rsidRDefault="00A833E0" w:rsidP="00561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385FAE" w:rsidRPr="00385F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Кропивницька митниця; вул. Лавандова 27-б, м. Кропивницький, 25030; код за ЄДРПОУ – 44005668; категорія замовника – орган державної  влади.</w:t>
      </w:r>
    </w:p>
    <w:p w:rsidR="00BB5DFF" w:rsidRDefault="00BB5DFF" w:rsidP="0056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FAE" w:rsidRPr="00385FAE" w:rsidRDefault="00A833E0" w:rsidP="00561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Предмет закупівлі: </w:t>
      </w:r>
      <w:r w:rsidR="00385FAE" w:rsidRPr="0038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Послуги захищеного доступу до мережі Інтернет </w:t>
      </w:r>
    </w:p>
    <w:p w:rsidR="00A833E0" w:rsidRDefault="00385FAE" w:rsidP="00561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 ДК021:2015:72410000-7 «Послуги провайдерів» </w:t>
      </w:r>
    </w:p>
    <w:p w:rsidR="00385FAE" w:rsidRPr="00385FAE" w:rsidRDefault="00385FAE" w:rsidP="00561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3E0" w:rsidRDefault="00A833E0" w:rsidP="0056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Обгрунту</w:t>
      </w:r>
      <w:r w:rsidR="0056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вання</w:t>
      </w:r>
      <w:proofErr w:type="spellEnd"/>
      <w:r w:rsidR="0056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доцільності закупівлі</w:t>
      </w:r>
      <w:r w:rsidR="0092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76701" w:rsidRPr="00776701" w:rsidRDefault="00776701" w:rsidP="00561C60">
      <w:pPr>
        <w:spacing w:before="160" w:after="0" w:line="240" w:lineRule="auto"/>
        <w:ind w:right="17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776701">
        <w:rPr>
          <w:rStyle w:val="a5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забезпечення функціонування Кропивницької митниці (далі – митниця) та виконання делегованих їй окремих повноважень Держмитслужби, визначених у Положенні про Кропивницьку митницю потрібно забезпечення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доступу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мережі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Інтернет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адміністративному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приміщенні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Кропивницької митниці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використанням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комплексної</w:t>
      </w:r>
      <w:r w:rsidRPr="00776701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системи</w:t>
      </w:r>
      <w:r w:rsidRPr="0077670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захисту</w:t>
      </w:r>
      <w:r w:rsidRPr="00776701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інформації</w:t>
      </w:r>
      <w:r w:rsidRPr="00776701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захищеного</w:t>
      </w:r>
      <w:r w:rsidRPr="0077670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вузла</w:t>
      </w:r>
      <w:r w:rsidRPr="00776701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Інтернет</w:t>
      </w:r>
      <w:r w:rsidRPr="00776701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доступу.</w:t>
      </w:r>
    </w:p>
    <w:p w:rsidR="00776701" w:rsidRPr="00776701" w:rsidRDefault="00776701" w:rsidP="00561C60">
      <w:pPr>
        <w:spacing w:after="0" w:line="240" w:lineRule="auto"/>
        <w:ind w:right="20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>Послуги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захищеного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доступу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мережі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Інтернет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повинні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надаватися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відповідно</w:t>
      </w:r>
      <w:r w:rsidRPr="00776701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776701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чинних</w:t>
      </w:r>
      <w:r w:rsidRPr="0077670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776701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України</w:t>
      </w:r>
      <w:r w:rsidRPr="00776701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законодавчих</w:t>
      </w:r>
      <w:r w:rsidRPr="0077670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нормативних</w:t>
      </w:r>
      <w:r w:rsidRPr="00776701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актів,</w:t>
      </w:r>
      <w:r w:rsidRPr="00776701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зокрема:</w:t>
      </w:r>
    </w:p>
    <w:p w:rsidR="00776701" w:rsidRPr="00776701" w:rsidRDefault="00776701" w:rsidP="00561C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>Закону</w:t>
      </w:r>
      <w:r w:rsidRPr="00776701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України</w:t>
      </w:r>
      <w:r w:rsidRPr="0077670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«Про</w:t>
      </w:r>
      <w:r w:rsidRPr="00776701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електронні</w:t>
      </w:r>
      <w:r w:rsidRPr="00776701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комунікації»;</w:t>
      </w:r>
    </w:p>
    <w:p w:rsidR="00776701" w:rsidRPr="00776701" w:rsidRDefault="00776701" w:rsidP="00561C60">
      <w:pPr>
        <w:pStyle w:val="a3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before="20" w:after="0" w:line="240" w:lineRule="auto"/>
        <w:ind w:left="0" w:right="187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>Указу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Президента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України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«Про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деякі 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заходи 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щодо 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захисту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державних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інформаційних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ресурсів у мережах передачі даних» від 24 вересня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2001р.</w:t>
      </w:r>
      <w:r w:rsidRPr="00776701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№891/2001;</w:t>
      </w:r>
    </w:p>
    <w:p w:rsidR="00776701" w:rsidRPr="00776701" w:rsidRDefault="00776701" w:rsidP="00561C60">
      <w:pPr>
        <w:pStyle w:val="a3"/>
        <w:widowControl w:val="0"/>
        <w:numPr>
          <w:ilvl w:val="0"/>
          <w:numId w:val="2"/>
        </w:numPr>
        <w:tabs>
          <w:tab w:val="left" w:pos="1700"/>
        </w:tabs>
        <w:autoSpaceDE w:val="0"/>
        <w:autoSpaceDN w:val="0"/>
        <w:spacing w:before="2" w:after="0" w:line="240" w:lineRule="auto"/>
        <w:ind w:left="0" w:right="175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>Порядку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координації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діяльності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органів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державної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влади,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органів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місцевого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самоврядування,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військових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формувань,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підприємств,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установ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i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організацій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незалежно від форм власності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 питань запобігання,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виявлення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усунення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наслідків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несанкціонованих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дій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щодо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державних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інформаційних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ресурсів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інформаційних,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електронних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комунікаційних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інформаційно-комунікаційних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системах,</w:t>
      </w:r>
      <w:r w:rsidRPr="00776701">
        <w:rPr>
          <w:rFonts w:ascii="Times New Roman" w:hAnsi="Times New Roman" w:cs="Times New Roman"/>
          <w:spacing w:val="69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затвердженого</w:t>
      </w:r>
      <w:r w:rsidRPr="00776701">
        <w:rPr>
          <w:rFonts w:ascii="Times New Roman" w:hAnsi="Times New Roman" w:cs="Times New Roman"/>
          <w:spacing w:val="69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наказом</w:t>
      </w:r>
      <w:r w:rsidRPr="00776701">
        <w:rPr>
          <w:rFonts w:ascii="Times New Roman" w:hAnsi="Times New Roman" w:cs="Times New Roman"/>
          <w:spacing w:val="69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Адміністрації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76701">
        <w:rPr>
          <w:rFonts w:ascii="Times New Roman" w:hAnsi="Times New Roman" w:cs="Times New Roman"/>
          <w:w w:val="105"/>
          <w:sz w:val="28"/>
          <w:szCs w:val="28"/>
        </w:rPr>
        <w:t>Держспецзв'язку</w:t>
      </w:r>
      <w:proofErr w:type="spellEnd"/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 від 10.06.2008 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94, зареєстрованого в Міністерстві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юстиції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України</w:t>
      </w:r>
      <w:r w:rsidRPr="00776701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7</w:t>
      </w:r>
      <w:r w:rsidRPr="00776701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липня</w:t>
      </w:r>
      <w:r w:rsidRPr="00776701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2008</w:t>
      </w:r>
      <w:r w:rsidRPr="00776701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р.</w:t>
      </w:r>
      <w:r w:rsidRPr="00776701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776701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№603/15294;</w:t>
      </w:r>
    </w:p>
    <w:p w:rsidR="00776701" w:rsidRPr="00776701" w:rsidRDefault="00776701" w:rsidP="00561C60">
      <w:pPr>
        <w:pStyle w:val="a3"/>
        <w:widowControl w:val="0"/>
        <w:numPr>
          <w:ilvl w:val="0"/>
          <w:numId w:val="2"/>
        </w:numPr>
        <w:tabs>
          <w:tab w:val="left" w:pos="1700"/>
        </w:tabs>
        <w:autoSpaceDE w:val="0"/>
        <w:autoSpaceDN w:val="0"/>
        <w:spacing w:before="2" w:after="0" w:line="240" w:lineRule="auto"/>
        <w:ind w:left="0" w:right="175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>Правил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надання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отримання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телекомунікаційних 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послуг,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затверджених постановою Кабінету Міністрів України від 11 квітня 2012 р. 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295,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інших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нормати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>в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но-правових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актів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країни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сфері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електронних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комунікацій.</w:t>
      </w:r>
    </w:p>
    <w:p w:rsidR="00776701" w:rsidRDefault="00776701" w:rsidP="00561C60">
      <w:pPr>
        <w:spacing w:after="0" w:line="240" w:lineRule="auto"/>
        <w:ind w:right="205"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Відповідно до постанови Кабінету Міністрів України  від 19 червня 2019 р. N 518 «Про затвердження Загальних  вимог  до  </w:t>
      </w:r>
      <w:proofErr w:type="spellStart"/>
      <w:r w:rsidRPr="00776701">
        <w:rPr>
          <w:rFonts w:ascii="Times New Roman" w:hAnsi="Times New Roman" w:cs="Times New Roman"/>
          <w:w w:val="105"/>
          <w:sz w:val="28"/>
          <w:szCs w:val="28"/>
        </w:rPr>
        <w:t>кіберзахисту</w:t>
      </w:r>
      <w:proofErr w:type="spellEnd"/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  об’єктів критичної інфраструктури» для  забезпечення  відмово стійкості 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об’єкта критичної інформаційної інфраструктури об’єкта критичної інфраструктури повинно здійснюватися (для об’єкта  критичної  інфраструктури,  які  надають свої послуги через Інтернет) зв’язок з Інтернетом з використанням двох та більше каналів передачі даних, які надаються різними операторами мережі передачі даних (провайдерами) (абзац сьомий пункту 38 Переліку  базових вимог із забезпечення </w:t>
      </w:r>
      <w:proofErr w:type="spellStart"/>
      <w:r w:rsidRPr="00776701">
        <w:rPr>
          <w:rFonts w:ascii="Times New Roman" w:hAnsi="Times New Roman" w:cs="Times New Roman"/>
          <w:w w:val="105"/>
          <w:sz w:val="28"/>
          <w:szCs w:val="28"/>
        </w:rPr>
        <w:t>кіберзахисту</w:t>
      </w:r>
      <w:proofErr w:type="spellEnd"/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 об’єктів критичної інфраструктури додатку до Загальних вимог).</w:t>
      </w:r>
    </w:p>
    <w:p w:rsidR="00561C60" w:rsidRPr="00776701" w:rsidRDefault="00561C60" w:rsidP="00561C60">
      <w:pPr>
        <w:spacing w:after="0" w:line="240" w:lineRule="auto"/>
        <w:ind w:right="205"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776701" w:rsidRDefault="00A833E0" w:rsidP="00561C60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обсягів закупівлі</w:t>
      </w:r>
      <w:r w:rsidR="0092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76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6701" w:rsidRPr="00776701" w:rsidRDefault="00776701" w:rsidP="00561C60">
      <w:pPr>
        <w:spacing w:after="0" w:line="240" w:lineRule="auto"/>
        <w:ind w:right="113"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>Уповноважені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особи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митниці приймають 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участь у судових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засіданнях,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у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наукових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конференціях,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он-лайн - навчанні,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дистанційному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підвищенні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кваліфікації</w:t>
      </w:r>
      <w:r w:rsidRPr="0077670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посадових</w:t>
      </w:r>
      <w:r w:rsidRPr="0077670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осіб.</w:t>
      </w:r>
      <w:r w:rsidRPr="0077670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Все</w:t>
      </w:r>
      <w:r w:rsidRPr="0077670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це</w:t>
      </w:r>
      <w:r w:rsidRPr="0077670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проходиться</w:t>
      </w:r>
      <w:r w:rsidRPr="0077670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в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режимі</w:t>
      </w:r>
      <w:r w:rsidRPr="00776701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proofErr w:type="spellStart"/>
      <w:r w:rsidRPr="00776701">
        <w:rPr>
          <w:rFonts w:ascii="Times New Roman" w:hAnsi="Times New Roman" w:cs="Times New Roman"/>
          <w:w w:val="105"/>
          <w:sz w:val="28"/>
          <w:szCs w:val="28"/>
        </w:rPr>
        <w:t>відеоконференцзв’язку</w:t>
      </w:r>
      <w:proofErr w:type="spellEnd"/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 через мережу Інтернет.</w:t>
      </w:r>
    </w:p>
    <w:p w:rsidR="00776701" w:rsidRPr="00776701" w:rsidRDefault="00776701" w:rsidP="00561C60">
      <w:pPr>
        <w:spacing w:after="0" w:line="240" w:lineRule="auto"/>
        <w:ind w:right="113"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Посадові особи управління митних платежів, контролю митної вартості та митно-тарифного регулювання ЗЕД постійно використовує Інтернет ресурси для: </w:t>
      </w:r>
    </w:p>
    <w:p w:rsidR="00776701" w:rsidRPr="00776701" w:rsidRDefault="00776701" w:rsidP="00561C60">
      <w:pPr>
        <w:pStyle w:val="a3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before="20" w:after="0" w:line="240" w:lineRule="auto"/>
        <w:ind w:left="0" w:right="187" w:firstLine="851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>Отримання актуальної інформації щодо законодавчих змін;</w:t>
      </w:r>
    </w:p>
    <w:p w:rsidR="00776701" w:rsidRPr="00776701" w:rsidRDefault="00776701" w:rsidP="00561C60">
      <w:pPr>
        <w:pStyle w:val="a3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before="20" w:after="0" w:line="240" w:lineRule="auto"/>
        <w:ind w:left="0" w:right="187" w:firstLine="851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>Перевірки достовірності інформації, що надається суб’єктами при митному оформленні;</w:t>
      </w:r>
    </w:p>
    <w:p w:rsidR="00776701" w:rsidRPr="00776701" w:rsidRDefault="00776701" w:rsidP="00561C60">
      <w:pPr>
        <w:pStyle w:val="a3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before="20" w:after="0" w:line="240" w:lineRule="auto"/>
        <w:ind w:left="0" w:right="187" w:firstLine="851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>Отримання цінової інформації або пропозицій при здійсненні перевірки заявленої митної вартості товарів (торгові площадки, біржі, аукціони, то що);</w:t>
      </w:r>
    </w:p>
    <w:p w:rsidR="00776701" w:rsidRPr="00776701" w:rsidRDefault="00776701" w:rsidP="00561C60">
      <w:pPr>
        <w:pStyle w:val="a3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before="20" w:after="0" w:line="240" w:lineRule="auto"/>
        <w:ind w:left="0" w:right="187" w:firstLine="851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Дослідження логістичних маршрутів, оцінка транспортних витрат понесених суб’єктами при здійснені </w:t>
      </w:r>
      <w:proofErr w:type="spellStart"/>
      <w:r w:rsidRPr="00776701">
        <w:rPr>
          <w:rFonts w:ascii="Times New Roman" w:hAnsi="Times New Roman" w:cs="Times New Roman"/>
          <w:w w:val="105"/>
          <w:sz w:val="28"/>
          <w:szCs w:val="28"/>
        </w:rPr>
        <w:t>зовнішньоторгівельних</w:t>
      </w:r>
      <w:proofErr w:type="spellEnd"/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 операцій.</w:t>
      </w:r>
    </w:p>
    <w:p w:rsidR="00776701" w:rsidRPr="00776701" w:rsidRDefault="00776701" w:rsidP="00561C60">
      <w:pPr>
        <w:spacing w:after="0" w:line="240" w:lineRule="auto"/>
        <w:ind w:right="113"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>Посадові особи відділу фінансового забезпечення та бухгалтерського обліку на постійній основі використовують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систему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дистанційного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обслуговування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Клієнт Казначейства – Казначейство, програмне забезпечення «Електронна звітність М.Е.</w:t>
      </w:r>
      <w:r w:rsidRPr="00776701">
        <w:rPr>
          <w:rFonts w:ascii="Times New Roman" w:hAnsi="Times New Roman" w:cs="Times New Roman"/>
          <w:w w:val="105"/>
          <w:sz w:val="28"/>
          <w:szCs w:val="28"/>
          <w:lang w:val="en-US"/>
        </w:rPr>
        <w:t>Doc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та інші бухгалтерські, фінансові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інформаційні</w:t>
      </w:r>
      <w:r w:rsidRPr="00776701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ресурси</w:t>
      </w:r>
      <w:r w:rsidRPr="00776701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і</w:t>
      </w:r>
      <w:r w:rsidRPr="00776701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бази</w:t>
      </w:r>
      <w:r w:rsidRPr="00776701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даних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 мережі</w:t>
      </w:r>
      <w:r w:rsidRPr="00776701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Інтернет.</w:t>
      </w:r>
    </w:p>
    <w:p w:rsidR="00776701" w:rsidRPr="00776701" w:rsidRDefault="00776701" w:rsidP="00561C60">
      <w:pPr>
        <w:spacing w:after="0" w:line="240" w:lineRule="auto"/>
        <w:ind w:right="113"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Використання </w:t>
      </w:r>
      <w:r w:rsidRPr="00776701">
        <w:rPr>
          <w:rFonts w:ascii="Times New Roman" w:hAnsi="Times New Roman" w:cs="Times New Roman"/>
          <w:sz w:val="28"/>
          <w:szCs w:val="28"/>
        </w:rPr>
        <w:t>послуги IP-телефонії з підключенням до «Віртуальної АТС».</w:t>
      </w:r>
    </w:p>
    <w:p w:rsidR="00776701" w:rsidRPr="00776701" w:rsidRDefault="00776701" w:rsidP="00561C60">
      <w:pPr>
        <w:spacing w:after="0" w:line="240" w:lineRule="auto"/>
        <w:ind w:right="1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6701">
        <w:rPr>
          <w:rFonts w:ascii="Times New Roman" w:hAnsi="Times New Roman" w:cs="Times New Roman"/>
          <w:sz w:val="28"/>
          <w:szCs w:val="28"/>
        </w:rPr>
        <w:t>3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огляду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на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вищезазначене,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закупівля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електронних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комунікаційних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послуг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захищеного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доступу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мережі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Інтернет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дозволить 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оптимізувати</w:t>
      </w:r>
      <w:r w:rsidRPr="00776701">
        <w:rPr>
          <w:rFonts w:ascii="Times New Roman" w:hAnsi="Times New Roman" w:cs="Times New Roman"/>
          <w:spacing w:val="69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прискорити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виконання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покладених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митницю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завдань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функцій</w:t>
      </w:r>
      <w:r w:rsidRPr="00776701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77670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сфері</w:t>
      </w:r>
      <w:r w:rsidRPr="00776701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виконання митних формальностей, </w:t>
      </w:r>
      <w:r w:rsidRPr="00776701">
        <w:rPr>
          <w:rFonts w:ascii="Times New Roman" w:hAnsi="Times New Roman" w:cs="Times New Roman"/>
          <w:sz w:val="28"/>
          <w:szCs w:val="28"/>
        </w:rPr>
        <w:t>всім посадовим особам митниці більш якісно і оперативно виконувати свої функціональні обов’язки,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 xml:space="preserve"> дозволить приймати участь у судових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засіданнях,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у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наукових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конференціях,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он-лайн - навчанні,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дистанційному</w:t>
      </w:r>
      <w:r w:rsidRPr="0077670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підвищенні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кваліфікації.</w:t>
      </w:r>
    </w:p>
    <w:p w:rsidR="00A833E0" w:rsidRDefault="00776701" w:rsidP="00561C60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76701">
        <w:rPr>
          <w:rFonts w:ascii="Times New Roman" w:hAnsi="Times New Roman" w:cs="Times New Roman"/>
          <w:sz w:val="28"/>
          <w:szCs w:val="28"/>
        </w:rPr>
        <w:t>Забезпечення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безперебійної,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безперервної,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стійкої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та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776701">
        <w:rPr>
          <w:rFonts w:ascii="Times New Roman" w:hAnsi="Times New Roman" w:cs="Times New Roman"/>
          <w:sz w:val="28"/>
          <w:szCs w:val="28"/>
        </w:rPr>
        <w:t>адійної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роботи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sz w:val="28"/>
          <w:szCs w:val="28"/>
        </w:rPr>
        <w:t>за</w:t>
      </w:r>
      <w:r w:rsidRPr="007767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будь-яких</w:t>
      </w:r>
      <w:r w:rsidRPr="00776701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умов</w:t>
      </w:r>
      <w:r w:rsidRPr="00776701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776701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мережі</w:t>
      </w:r>
      <w:r w:rsidRPr="0077670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776701">
        <w:rPr>
          <w:rFonts w:ascii="Times New Roman" w:hAnsi="Times New Roman" w:cs="Times New Roman"/>
          <w:w w:val="105"/>
          <w:sz w:val="28"/>
          <w:szCs w:val="28"/>
        </w:rPr>
        <w:t>Інтернет.</w:t>
      </w:r>
    </w:p>
    <w:p w:rsidR="00561C60" w:rsidRPr="00776701" w:rsidRDefault="00561C60" w:rsidP="00561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D19" w:rsidRDefault="00927D19" w:rsidP="0056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</w:t>
      </w:r>
      <w:r w:rsidRPr="0092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76701" w:rsidRPr="004D3C4D" w:rsidRDefault="004D3C4D" w:rsidP="004D3C4D">
      <w:pPr>
        <w:tabs>
          <w:tab w:val="left" w:pos="1134"/>
        </w:tabs>
        <w:suppressAutoHyphens/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1) </w:t>
      </w:r>
      <w:r w:rsidR="00776701" w:rsidRPr="004D3C4D">
        <w:rPr>
          <w:rFonts w:ascii="Times New Roman" w:hAnsi="Times New Roman" w:cs="Times New Roman"/>
          <w:b/>
          <w:color w:val="000000"/>
          <w:sz w:val="28"/>
          <w:szCs w:val="28"/>
        </w:rPr>
        <w:t>Загальні вимоги:</w:t>
      </w:r>
    </w:p>
    <w:p w:rsidR="00776701" w:rsidRPr="00776701" w:rsidRDefault="004D3C4D" w:rsidP="004D3C4D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Послуги захищеного доступу до мережі Інтернет повинні надаватися відповідно до чинних в Україні законодавчих та нормативних актів, зокрема:</w:t>
      </w:r>
    </w:p>
    <w:p w:rsidR="00776701" w:rsidRPr="00776701" w:rsidRDefault="00776701" w:rsidP="00561C60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701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електронні комунікації»;</w:t>
      </w:r>
    </w:p>
    <w:p w:rsidR="00776701" w:rsidRPr="00776701" w:rsidRDefault="00776701" w:rsidP="00561C60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Указу Президента України «Про деякі заходи щодо захисту державних інформаційних ресурсів у мережах передачі даних» від 24 вересня 2001 р. № 891/2001; </w:t>
      </w:r>
    </w:p>
    <w:p w:rsidR="00776701" w:rsidRPr="00776701" w:rsidRDefault="00776701" w:rsidP="00561C60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776701">
        <w:rPr>
          <w:rFonts w:ascii="Times New Roman" w:hAnsi="Times New Roman" w:cs="Times New Roman"/>
          <w:color w:val="000000"/>
          <w:sz w:val="28"/>
          <w:szCs w:val="28"/>
        </w:rPr>
        <w:t>Держспецзв'язку</w:t>
      </w:r>
      <w:proofErr w:type="spellEnd"/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від 10.06.2008 № 94, зареєстрованого в Міністерстві юстиції України 7 липня 2008 р. за № 603/15294;</w:t>
      </w:r>
    </w:p>
    <w:p w:rsidR="00776701" w:rsidRPr="00776701" w:rsidRDefault="00776701" w:rsidP="00561C60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701">
        <w:rPr>
          <w:rFonts w:ascii="Times New Roman" w:hAnsi="Times New Roman" w:cs="Times New Roman"/>
          <w:color w:val="000000"/>
          <w:sz w:val="28"/>
          <w:szCs w:val="28"/>
        </w:rPr>
        <w:t>Правил надання та отримання телекомунікаційних послуг, затверджених постановою Кабінету Міністрів України від 11 квітня 2012 р. № 295, та інших нормативно-правових актів України у сфері електронних комунікацій.</w:t>
      </w:r>
    </w:p>
    <w:p w:rsidR="00776701" w:rsidRPr="00776701" w:rsidRDefault="004D3C4D" w:rsidP="004D3C4D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постанови Кабінету Міністрів України від 19 червня 2019 р.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518 «Про затвердження Загальних вимог до 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кіберзахисту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об’єктів критичної інфраструктури» для забезпечення 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відмовостійкості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об’єкта критичної інформаційної інфраструктури об’єкта критичної інфраструктури повинно здійснюватися (для об’єкта критичної інфраструктури, які надають свої послуги через Інтернет) зв’язок з Інтернетом з використанням двох та більше каналів передачі даних, які надаються різними операторами мережі передачі даних (провайдерами) (абзац сьомий пункту 38 Переліку базових вимог із забезпечення 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кіберзахисту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об’єктів критичної інфраструктури додатку до Загальних вимог).</w:t>
      </w:r>
    </w:p>
    <w:p w:rsidR="00776701" w:rsidRPr="00776701" w:rsidRDefault="00776701" w:rsidP="00561C60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6701">
        <w:rPr>
          <w:rFonts w:ascii="Times New Roman" w:hAnsi="Times New Roman" w:cs="Times New Roman"/>
          <w:b/>
          <w:color w:val="000000"/>
          <w:sz w:val="28"/>
          <w:szCs w:val="28"/>
        </w:rPr>
        <w:t>Місце надання послуг:</w:t>
      </w:r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6701">
        <w:rPr>
          <w:rFonts w:ascii="Times New Roman" w:eastAsia="Calibri" w:hAnsi="Times New Roman" w:cs="Times New Roman"/>
          <w:color w:val="000000"/>
          <w:sz w:val="28"/>
          <w:szCs w:val="28"/>
        </w:rPr>
        <w:t>25030, м. Кропивницький, вул. Лавандова, 27-Б</w:t>
      </w:r>
      <w:r w:rsidRPr="007767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6701" w:rsidRPr="004D3C4D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2) </w:t>
      </w:r>
      <w:r w:rsidR="00776701" w:rsidRPr="004D3C4D">
        <w:rPr>
          <w:rFonts w:ascii="Times New Roman" w:hAnsi="Times New Roman" w:cs="Times New Roman"/>
          <w:b/>
          <w:color w:val="000000"/>
          <w:sz w:val="28"/>
          <w:szCs w:val="28"/>
        </w:rPr>
        <w:t>Вимоги до послуг:</w:t>
      </w:r>
    </w:p>
    <w:p w:rsidR="00776701" w:rsidRPr="00776701" w:rsidRDefault="00BB5DFF" w:rsidP="00BB5DFF">
      <w:pPr>
        <w:tabs>
          <w:tab w:val="left" w:pos="567"/>
          <w:tab w:val="left" w:pos="896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C4D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776701" w:rsidRPr="004D3C4D">
        <w:rPr>
          <w:rFonts w:ascii="Times New Roman" w:hAnsi="Times New Roman" w:cs="Times New Roman"/>
          <w:color w:val="000000"/>
          <w:sz w:val="28"/>
          <w:szCs w:val="28"/>
        </w:rPr>
        <w:t>Тип послуг:</w:t>
      </w:r>
      <w:r w:rsidR="00776701" w:rsidRPr="007767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послуги захищеного доступу до мережі Інтернет через Захищений вузол Інтернет доступу Виконавця за технологією TCP/IP по виділеній оптично-волоконній лінії зв’язку:</w:t>
      </w:r>
    </w:p>
    <w:p w:rsidR="00776701" w:rsidRPr="00776701" w:rsidRDefault="00776701" w:rsidP="00561C6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за адресою </w:t>
      </w:r>
      <w:r w:rsidRPr="00776701">
        <w:rPr>
          <w:rFonts w:ascii="Times New Roman" w:eastAsia="Calibri" w:hAnsi="Times New Roman" w:cs="Times New Roman"/>
          <w:color w:val="000000"/>
          <w:sz w:val="28"/>
          <w:szCs w:val="28"/>
        </w:rPr>
        <w:t>м. Кропивницький, вул. Лавандова, 27-Б</w:t>
      </w:r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на швидкості 100 </w:t>
      </w:r>
      <w:proofErr w:type="spellStart"/>
      <w:r w:rsidRPr="00776701">
        <w:rPr>
          <w:rFonts w:ascii="Times New Roman" w:hAnsi="Times New Roman" w:cs="Times New Roman"/>
          <w:color w:val="000000"/>
          <w:sz w:val="28"/>
          <w:szCs w:val="28"/>
        </w:rPr>
        <w:t>Мбіт</w:t>
      </w:r>
      <w:proofErr w:type="spellEnd"/>
      <w:r w:rsidRPr="00776701">
        <w:rPr>
          <w:rFonts w:ascii="Times New Roman" w:hAnsi="Times New Roman" w:cs="Times New Roman"/>
          <w:color w:val="000000"/>
          <w:sz w:val="28"/>
          <w:szCs w:val="28"/>
        </w:rPr>
        <w:t>/с без урахування обсягів прийнятої та переданої інформації, операторське та технічне супроводження доступу до мережі Інтернет;</w:t>
      </w:r>
    </w:p>
    <w:p w:rsidR="00776701" w:rsidRPr="00776701" w:rsidRDefault="00BB5DFF" w:rsidP="00BB5DFF">
      <w:pPr>
        <w:tabs>
          <w:tab w:val="left" w:pos="567"/>
          <w:tab w:val="left" w:pos="709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Цілодобовий захищений доступ до мережі Інтернет повинен надаватися через Захищений вузол Інтернет доступу (ЗВІД) Виконавця, який повинен мати дійсний атестат відповідності системи захисту інформації та експертний висновок до нього.</w:t>
      </w:r>
    </w:p>
    <w:p w:rsidR="00776701" w:rsidRPr="00776701" w:rsidRDefault="00BB5DFF" w:rsidP="00BB5DFF">
      <w:pPr>
        <w:tabs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Виконавець здійснює розміщення власного обладнання, необхідного для забезпечення надання Послуг на вузлі мережі Замовника, відповідно до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паспортних характеристик обладнання, а Замовник забезпечує технічні умови для розміщення та експлуатації обладнання Виконавця.</w:t>
      </w:r>
    </w:p>
    <w:p w:rsidR="00776701" w:rsidRPr="00776701" w:rsidRDefault="00BB5DFF" w:rsidP="00BB5DFF">
      <w:pPr>
        <w:tabs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Зона відповідальності Виконавця при наданні Послуг </w:t>
      </w:r>
      <w:r w:rsidR="00776701" w:rsidRPr="00776701">
        <w:rPr>
          <w:rFonts w:ascii="Times New Roman" w:hAnsi="Times New Roman" w:cs="Times New Roman"/>
          <w:sz w:val="28"/>
          <w:szCs w:val="28"/>
        </w:rPr>
        <w:t>–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до інтерфейсу локального мережевого обладнання Замовника. Відповідно все обладнання, включаючи кабелі до інтерфейсу локального мережевого обладнання, надається, встановлюється та налагоджується Виконавцем в рамках надання Послуг, та не використовується для інших цілей.</w:t>
      </w:r>
    </w:p>
    <w:p w:rsidR="00776701" w:rsidRPr="00776701" w:rsidRDefault="004D3C4D" w:rsidP="004D3C4D">
      <w:pPr>
        <w:tabs>
          <w:tab w:val="left" w:pos="567"/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Доступ до мережі Інтернет повинен здійснюватися за допомогою виділеного цифрового каналу передачі даних. Гарантована швидкість доступу до ресурсів мережі Інтернет за </w:t>
      </w:r>
      <w:r w:rsidR="00776701" w:rsidRPr="00776701">
        <w:rPr>
          <w:rFonts w:ascii="Times New Roman" w:hAnsi="Times New Roman" w:cs="Times New Roman"/>
          <w:sz w:val="28"/>
          <w:szCs w:val="28"/>
        </w:rPr>
        <w:t xml:space="preserve">адресою </w:t>
      </w:r>
      <w:proofErr w:type="spellStart"/>
      <w:r w:rsidR="00776701" w:rsidRPr="00776701">
        <w:rPr>
          <w:rFonts w:ascii="Times New Roman" w:eastAsia="Calibri" w:hAnsi="Times New Roman" w:cs="Times New Roman"/>
          <w:color w:val="000000"/>
          <w:sz w:val="28"/>
          <w:szCs w:val="28"/>
        </w:rPr>
        <w:t>м.Кропивницький</w:t>
      </w:r>
      <w:proofErr w:type="spellEnd"/>
      <w:r w:rsidR="00776701" w:rsidRPr="00776701">
        <w:rPr>
          <w:rFonts w:ascii="Times New Roman" w:eastAsia="Calibri" w:hAnsi="Times New Roman" w:cs="Times New Roman"/>
          <w:color w:val="000000"/>
          <w:sz w:val="28"/>
          <w:szCs w:val="28"/>
        </w:rPr>
        <w:t>, вул. Лавандова, 27-Б</w:t>
      </w:r>
    </w:p>
    <w:p w:rsidR="00776701" w:rsidRPr="00776701" w:rsidRDefault="00776701" w:rsidP="00561C6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776701">
        <w:rPr>
          <w:rFonts w:ascii="Times New Roman" w:hAnsi="Times New Roman" w:cs="Times New Roman"/>
          <w:sz w:val="28"/>
          <w:szCs w:val="28"/>
        </w:rPr>
        <w:t>закордонних</w:t>
      </w:r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ресурсів 100 </w:t>
      </w:r>
      <w:proofErr w:type="spellStart"/>
      <w:r w:rsidRPr="00776701">
        <w:rPr>
          <w:rFonts w:ascii="Times New Roman" w:hAnsi="Times New Roman" w:cs="Times New Roman"/>
          <w:color w:val="000000"/>
          <w:sz w:val="28"/>
          <w:szCs w:val="28"/>
        </w:rPr>
        <w:t>Мбіт</w:t>
      </w:r>
      <w:proofErr w:type="spellEnd"/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/с на прийом та 100 </w:t>
      </w:r>
      <w:proofErr w:type="spellStart"/>
      <w:r w:rsidRPr="00776701">
        <w:rPr>
          <w:rFonts w:ascii="Times New Roman" w:hAnsi="Times New Roman" w:cs="Times New Roman"/>
          <w:color w:val="000000"/>
          <w:sz w:val="28"/>
          <w:szCs w:val="28"/>
        </w:rPr>
        <w:t>Мбіт</w:t>
      </w:r>
      <w:proofErr w:type="spellEnd"/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/с на передачу, без обмеження </w:t>
      </w:r>
      <w:proofErr w:type="spellStart"/>
      <w:r w:rsidRPr="00776701">
        <w:rPr>
          <w:rFonts w:ascii="Times New Roman" w:hAnsi="Times New Roman" w:cs="Times New Roman"/>
          <w:color w:val="000000"/>
          <w:sz w:val="28"/>
          <w:szCs w:val="28"/>
        </w:rPr>
        <w:t>трафіку</w:t>
      </w:r>
      <w:proofErr w:type="spellEnd"/>
      <w:r w:rsidRPr="007767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76701" w:rsidRPr="00776701" w:rsidRDefault="00776701" w:rsidP="00561C6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776701">
        <w:rPr>
          <w:rFonts w:ascii="Times New Roman" w:hAnsi="Times New Roman" w:cs="Times New Roman"/>
          <w:sz w:val="28"/>
          <w:szCs w:val="28"/>
        </w:rPr>
        <w:t>українських</w:t>
      </w:r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ресурсів 100 </w:t>
      </w:r>
      <w:proofErr w:type="spellStart"/>
      <w:r w:rsidRPr="00776701">
        <w:rPr>
          <w:rFonts w:ascii="Times New Roman" w:hAnsi="Times New Roman" w:cs="Times New Roman"/>
          <w:color w:val="000000"/>
          <w:sz w:val="28"/>
          <w:szCs w:val="28"/>
        </w:rPr>
        <w:t>Мбіт</w:t>
      </w:r>
      <w:proofErr w:type="spellEnd"/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/с на прийом та 100 </w:t>
      </w:r>
      <w:proofErr w:type="spellStart"/>
      <w:r w:rsidRPr="00776701">
        <w:rPr>
          <w:rFonts w:ascii="Times New Roman" w:hAnsi="Times New Roman" w:cs="Times New Roman"/>
          <w:color w:val="000000"/>
          <w:sz w:val="28"/>
          <w:szCs w:val="28"/>
        </w:rPr>
        <w:t>Мбіт</w:t>
      </w:r>
      <w:proofErr w:type="spellEnd"/>
      <w:r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/с на передачу, без обмеження </w:t>
      </w:r>
      <w:proofErr w:type="spellStart"/>
      <w:r w:rsidRPr="00776701">
        <w:rPr>
          <w:rFonts w:ascii="Times New Roman" w:hAnsi="Times New Roman" w:cs="Times New Roman"/>
          <w:color w:val="000000"/>
          <w:sz w:val="28"/>
          <w:szCs w:val="28"/>
        </w:rPr>
        <w:t>трафіку</w:t>
      </w:r>
      <w:proofErr w:type="spellEnd"/>
      <w:r w:rsidRPr="00776701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spellStart"/>
      <w:r w:rsidRPr="00776701">
        <w:rPr>
          <w:rFonts w:ascii="Times New Roman" w:hAnsi="Times New Roman" w:cs="Times New Roman"/>
          <w:color w:val="FFFFFF" w:themeColor="background1"/>
          <w:sz w:val="28"/>
          <w:szCs w:val="28"/>
        </w:rPr>
        <w:t>ук</w:t>
      </w:r>
      <w:proofErr w:type="spellEnd"/>
    </w:p>
    <w:p w:rsidR="00776701" w:rsidRPr="00776701" w:rsidRDefault="004D3C4D" w:rsidP="004D3C4D">
      <w:pPr>
        <w:tabs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Виконавець повинен мати систему централізованого моніторингу завантаженості, працездатності та інших якісних характеристик каналу передачі даних, та у разі необхідності надавати ці відомості Замовнику.</w:t>
      </w:r>
    </w:p>
    <w:p w:rsidR="00776701" w:rsidRPr="00776701" w:rsidRDefault="004D3C4D" w:rsidP="004D3C4D">
      <w:pPr>
        <w:tabs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Виконавець повинен забезпечити технічну підтримку каналу передачі даних, яка включає також постійний моніторинг каналу, діагностику причини відхилення від заданих технічних характеристик.</w:t>
      </w:r>
    </w:p>
    <w:p w:rsidR="00776701" w:rsidRPr="00776701" w:rsidRDefault="004D3C4D" w:rsidP="004D3C4D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776701" w:rsidRPr="00776701">
        <w:rPr>
          <w:rFonts w:ascii="Times New Roman" w:hAnsi="Times New Roman" w:cs="Times New Roman"/>
          <w:sz w:val="28"/>
          <w:szCs w:val="28"/>
        </w:rPr>
        <w:t xml:space="preserve">Інтерфейс для прийому послуг за адресою </w:t>
      </w:r>
      <w:r w:rsidR="00776701" w:rsidRPr="00776701">
        <w:rPr>
          <w:rFonts w:ascii="Times New Roman" w:eastAsia="Calibri" w:hAnsi="Times New Roman" w:cs="Times New Roman"/>
          <w:color w:val="000000"/>
          <w:sz w:val="28"/>
          <w:szCs w:val="28"/>
        </w:rPr>
        <w:t>м. Кропивницький, вул. Лавандова, 27-Б</w:t>
      </w:r>
      <w:r w:rsidR="00776701" w:rsidRPr="00776701">
        <w:rPr>
          <w:rFonts w:ascii="Times New Roman" w:hAnsi="Times New Roman" w:cs="Times New Roman"/>
          <w:sz w:val="28"/>
          <w:szCs w:val="28"/>
        </w:rPr>
        <w:t>:</w:t>
      </w:r>
    </w:p>
    <w:p w:rsidR="00776701" w:rsidRPr="004D3C4D" w:rsidRDefault="00776701" w:rsidP="004D3C4D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C4D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4D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C4D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4D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C4D">
        <w:rPr>
          <w:rFonts w:ascii="Times New Roman" w:hAnsi="Times New Roman" w:cs="Times New Roman"/>
          <w:sz w:val="28"/>
          <w:szCs w:val="28"/>
        </w:rPr>
        <w:t>versions</w:t>
      </w:r>
      <w:proofErr w:type="spellEnd"/>
      <w:r w:rsidRPr="004D3C4D">
        <w:rPr>
          <w:rFonts w:ascii="Times New Roman" w:hAnsi="Times New Roman" w:cs="Times New Roman"/>
          <w:sz w:val="28"/>
          <w:szCs w:val="28"/>
        </w:rPr>
        <w:t xml:space="preserve"> (100 BASE-T).</w:t>
      </w:r>
    </w:p>
    <w:p w:rsidR="00776701" w:rsidRPr="00776701" w:rsidRDefault="004D3C4D" w:rsidP="004D3C4D">
      <w:pPr>
        <w:tabs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776701" w:rsidRPr="00776701">
        <w:rPr>
          <w:rFonts w:ascii="Times New Roman" w:hAnsi="Times New Roman" w:cs="Times New Roman"/>
          <w:sz w:val="28"/>
          <w:szCs w:val="28"/>
        </w:rPr>
        <w:t>Послуги надаються в режимі 24/7/365.</w:t>
      </w:r>
    </w:p>
    <w:p w:rsidR="00776701" w:rsidRPr="00776701" w:rsidRDefault="00776701" w:rsidP="00561C60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701" w:rsidRPr="004D3C4D" w:rsidRDefault="004D3C4D" w:rsidP="004D3C4D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3) </w:t>
      </w:r>
      <w:r w:rsidR="00776701" w:rsidRPr="004D3C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Вимоги до операторського та технічного супроводження. 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Виконавець повинен мати власний Центр технічної підтримки що працює в режимі: 24х7х365 (цілодобово (00:00-24:00) з понеділка по неділю включно, 365 днів на рік з можливістю звернення по телефону, через веб-сайт, електронну пошту (e-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Виконавець повинен надати Замовнику перелік телефонів, веб-сайт та електронну пошту (e-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) Центру технічної підтримки протягом 2-х календарних днів з моменту підписання Договору. 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Звернення (повідомлення) Замовника повинно обов’язково включати: найменування Замовника; ім'я, прізвище, контактний телефон особи, що звертається; причину звернення.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На підставі звернення (повідомлення) Замовника Виконавець формує заявку, що включає всі відомості, повідомлені Замовником.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3.5.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Виконавець повинен здійснювати постійний моніторинг каналу передачі даних, виявлення та усунення причин відхилення від заданих технічних характеристик.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У разі виявлення 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кіберінцинденту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(кібератаки) на ресурси або 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трафік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Замовника Виконавець повинен негайно повідомити про це представників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технічної підтримки Замовника по телефону та засобами електронної пошти (e-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3.7.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Виконавець повинен щомісячно надавати статистичну інформацію про послуги, що надаються.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3.8.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Виконавець повинен забезпечити усунення пошкоджень каналу передачі даних та відновлення доступу до глобальної мережі у термін (далі - 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803, зареєстрованого в Міністерстві юстиції України 21.01.2013 №135/22667.</w:t>
      </w:r>
    </w:p>
    <w:p w:rsidR="00776701" w:rsidRPr="00776701" w:rsidRDefault="00776701" w:rsidP="00561C60">
      <w:pPr>
        <w:tabs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6701" w:rsidRPr="004D3C4D" w:rsidRDefault="004D3C4D" w:rsidP="004D3C4D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4) </w:t>
      </w:r>
      <w:r w:rsidR="00776701" w:rsidRPr="004D3C4D">
        <w:rPr>
          <w:rFonts w:ascii="Times New Roman" w:hAnsi="Times New Roman" w:cs="Times New Roman"/>
          <w:b/>
          <w:color w:val="000000"/>
          <w:sz w:val="28"/>
          <w:szCs w:val="28"/>
        </w:rPr>
        <w:t>Порядок та строки усунення інцидентів: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Відсутність надання послуг протягом 30 хвилин вважається інцидентом.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У випадку виникнення інцидентів Виконавець негайно повідомляє про це представників технічної підтримки Замовника по телефону та засобами електронної пошти</w:t>
      </w:r>
      <w:r w:rsidR="007767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(e-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У випадку, якщо інцидент виявлено Замовником, останній негайно повідомляє про це представників технічної підтримки Виконавця по телефону та засобами електронної пошти (e-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Початком періоду інциденту вважається отримання Виконавцем від Замовника повідомлення про інцидент або повідомлення Виконавцем Замовника по телефону та засобами електронної пошти (e-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4.5.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Строк усунення інцидентів, які виникли з вини Виконавця не повинен перевищувати 2-х годин.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4.6.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Порядок та строки усунення інцидентів, що виникли з вини Замовника, погоджується Сторонами в кожному окремому випадку. 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4.7.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Завершенням періоду інциденту вважається час фактичного усунення інциденту та відновлення Послуг.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4.8.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Про факт відновлення Послуг Виконавець повідомляє Замовника по телефону та дублює повідомлення на електронну пошту (e-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). На повідомлення Виконавця Замовник підтверджує чи не підтверджує факт відновлення надання Послуг.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4.9.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Замовник зобов’язується надавати персоналу Виконавця доступ до приміщень Замовника, електронного комунікаційного обладнання, яке встановлено у Замовника відповідно п. 3.3, що забезпечує надання Послуг та розміщене в приміщеннях Замовника, для виконання робіт по відновленню Послуг.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4.10.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Для отримання необхідного доступу до приміщень Замовника, Виконавець надсилає листа з переліком працівників, які будуть виконувати роботи. Оператор пред’являє Замовнику службові посвідчення та направлення на виконання робіт.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4.11.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Замовник має право отримувати інформацію про хід виконання робіт по відновленню Послуг шляхом звернення до представників технічної підтримки Виконавця.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4.12.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При надходженні заявки про інцидент (відсутність Послуги з вини Виконавця) при перевищені строку відновлення надання Послуги понад нормований час повинно бути припинене нарахування абонентської плати за період з моменту подачі заявки до відновлення надання Послуги у повному обсязі.</w:t>
      </w:r>
    </w:p>
    <w:p w:rsidR="00776701" w:rsidRPr="00776701" w:rsidRDefault="00776701" w:rsidP="00561C6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6701" w:rsidRPr="004D3C4D" w:rsidRDefault="004D3C4D" w:rsidP="004D3C4D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5) </w:t>
      </w:r>
      <w:r w:rsidR="00776701" w:rsidRPr="004D3C4D">
        <w:rPr>
          <w:rFonts w:ascii="Times New Roman" w:hAnsi="Times New Roman" w:cs="Times New Roman"/>
          <w:b/>
          <w:color w:val="000000"/>
          <w:sz w:val="28"/>
          <w:szCs w:val="28"/>
        </w:rPr>
        <w:t>На підтвердження відповідності тендерної пропозиції технічним, якісним, кількісним вимогам до предмета закупівлі, Учасником у складі тендерної пропозиції надається: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Довідка (форма довільна) щодо можливості надання послуг відповідно до вимог.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Довідку в довільній формі про організацію цілодобової технічної підтримки послуги (телефони «гарячої лінії», e-</w:t>
      </w:r>
      <w:proofErr w:type="spellStart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 xml:space="preserve"> адреси, сайти технічної підтримки тощо). Інформація зазначена у довідці повинна бути підтверджена інформацією з офіційного сайту Учасника (за наявності).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Документ, який підтверджує внесення Учасника до реєстру операторів та/ або</w:t>
      </w:r>
      <w:r w:rsidR="00776701" w:rsidRPr="00776701">
        <w:rPr>
          <w:rFonts w:ascii="Times New Roman" w:hAnsi="Times New Roman" w:cs="Times New Roman"/>
          <w:sz w:val="28"/>
          <w:szCs w:val="28"/>
        </w:rPr>
        <w:t xml:space="preserve"> провайдерів </w:t>
      </w:r>
      <w:proofErr w:type="spellStart"/>
      <w:r w:rsidR="00776701" w:rsidRPr="00776701">
        <w:rPr>
          <w:rFonts w:ascii="Times New Roman" w:hAnsi="Times New Roman" w:cs="Times New Roman"/>
          <w:sz w:val="28"/>
          <w:szCs w:val="28"/>
        </w:rPr>
        <w:t>телекомунікацій</w:t>
      </w:r>
      <w:proofErr w:type="spellEnd"/>
      <w:r w:rsidR="00776701" w:rsidRPr="00776701">
        <w:rPr>
          <w:rFonts w:ascii="Times New Roman" w:hAnsi="Times New Roman" w:cs="Times New Roman"/>
          <w:sz w:val="28"/>
          <w:szCs w:val="28"/>
        </w:rPr>
        <w:t xml:space="preserve"> Національною комісією, що здійснює державне регулювання у сфері зв’язку та інформатизації.</w:t>
      </w:r>
    </w:p>
    <w:p w:rsidR="00776701" w:rsidRPr="00776701" w:rsidRDefault="004D3C4D" w:rsidP="004D3C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5.4. </w:t>
      </w:r>
      <w:r w:rsidR="00776701" w:rsidRPr="00776701">
        <w:rPr>
          <w:rFonts w:ascii="Times New Roman" w:hAnsi="Times New Roman" w:cs="Times New Roman"/>
          <w:color w:val="000000"/>
          <w:sz w:val="28"/>
          <w:szCs w:val="28"/>
        </w:rPr>
        <w:t>На підтвердження відповідності системи захисту інформації Захищеного вузла Інтернет доступу (ЗВІД) встановленим вимогам у сфері захисту інформації учасник повинен надати копію дійсного Атестату відповідності виданого Державною службою спеціального зв’язку та захисту інформації України та Експертного висновку до нього.</w:t>
      </w:r>
    </w:p>
    <w:p w:rsidR="00776701" w:rsidRDefault="00776701" w:rsidP="0056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C38" w:rsidRDefault="005F4C38" w:rsidP="0056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4D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бюджетного призначення та/або очікуваної вартості предмета закупівлі.    </w:t>
      </w:r>
    </w:p>
    <w:p w:rsidR="005F4C38" w:rsidRDefault="005F4C38" w:rsidP="0056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DF1">
        <w:rPr>
          <w:rFonts w:ascii="Times New Roman" w:hAnsi="Times New Roman" w:cs="Times New Roman"/>
          <w:sz w:val="28"/>
          <w:szCs w:val="28"/>
        </w:rPr>
        <w:t xml:space="preserve">Вартість предмету закупівлі </w:t>
      </w:r>
      <w:r w:rsidRPr="00385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захищеного доступу до мережі Інтернет код ДК021:2015:72410000-7 «Послуги провайдерів»</w:t>
      </w:r>
      <w:r w:rsidRPr="00272DF1">
        <w:rPr>
          <w:rFonts w:ascii="Times New Roman" w:hAnsi="Times New Roman" w:cs="Times New Roman"/>
          <w:sz w:val="28"/>
          <w:szCs w:val="28"/>
        </w:rPr>
        <w:t xml:space="preserve"> розрахована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BE27D6" w:rsidRPr="00272DF1" w:rsidRDefault="00BE27D6" w:rsidP="0056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 49 000,00 грн. з ПДВ.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C38" w:rsidRPr="00561C60" w:rsidRDefault="005F4C38" w:rsidP="0056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DF1">
        <w:rPr>
          <w:rFonts w:ascii="Times New Roman" w:hAnsi="Times New Roman" w:cs="Times New Roman"/>
          <w:sz w:val="28"/>
          <w:szCs w:val="28"/>
        </w:rPr>
        <w:t xml:space="preserve">Для розрахунків очікуваної вартості забезпечення Кропивницької митниці </w:t>
      </w:r>
      <w:r w:rsidRPr="005F4C38">
        <w:rPr>
          <w:rFonts w:ascii="Times New Roman" w:hAnsi="Times New Roman" w:cs="Times New Roman"/>
          <w:sz w:val="28"/>
          <w:szCs w:val="28"/>
        </w:rPr>
        <w:t>захищеним доступом до мережі Інтернет</w:t>
      </w:r>
      <w:r w:rsidRPr="00272DF1">
        <w:rPr>
          <w:rFonts w:ascii="Times New Roman" w:hAnsi="Times New Roman" w:cs="Times New Roman"/>
          <w:sz w:val="28"/>
          <w:szCs w:val="28"/>
        </w:rPr>
        <w:t xml:space="preserve"> були використано інформацію про вартість аналогічних послуг, які розміщені на відповідних ресурсах мережі Інтернет</w:t>
      </w:r>
      <w:r w:rsidR="00BE27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33E0" w:rsidRPr="00924BF6" w:rsidRDefault="00924BF6" w:rsidP="00561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бюджетного призначення для предмета закупівлі відповідає розрахунку видатків до кошторису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Кропивницької митниці </w:t>
      </w:r>
      <w:r w:rsidRPr="00924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рік за КПКВ 3506010 – «Керівництво та управління у сфері митної політики»; за КЕКВ 2240 – «Оплата послуг (крім комунальних)».</w:t>
      </w:r>
    </w:p>
    <w:sectPr w:rsidR="00A833E0" w:rsidRPr="00924BF6" w:rsidSect="00776701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309"/>
    <w:multiLevelType w:val="multilevel"/>
    <w:tmpl w:val="C5F24A9E"/>
    <w:lvl w:ilvl="0">
      <w:start w:val="1"/>
      <w:numFmt w:val="decimal"/>
      <w:lvlText w:val="%1."/>
      <w:lvlJc w:val="left"/>
      <w:pPr>
        <w:tabs>
          <w:tab w:val="num" w:pos="426"/>
        </w:tabs>
        <w:ind w:left="816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-2551"/>
        </w:tabs>
        <w:ind w:left="2564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840" w:hanging="1800"/>
      </w:pPr>
      <w:rPr>
        <w:color w:val="000000"/>
      </w:rPr>
    </w:lvl>
  </w:abstractNum>
  <w:abstractNum w:abstractNumId="1">
    <w:nsid w:val="0D187B56"/>
    <w:multiLevelType w:val="multilevel"/>
    <w:tmpl w:val="E4260B0E"/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9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6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7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220" w:hanging="360"/>
      </w:pPr>
      <w:rPr>
        <w:rFonts w:ascii="Noto Sans Symbols" w:hAnsi="Noto Sans Symbols" w:cs="Noto Sans Symbols" w:hint="default"/>
      </w:rPr>
    </w:lvl>
  </w:abstractNum>
  <w:abstractNum w:abstractNumId="2">
    <w:nsid w:val="2F1F7CC8"/>
    <w:multiLevelType w:val="hybridMultilevel"/>
    <w:tmpl w:val="F2B46996"/>
    <w:lvl w:ilvl="0" w:tplc="2C2E59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EA0EDC"/>
    <w:multiLevelType w:val="multilevel"/>
    <w:tmpl w:val="68F2A6BC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nsid w:val="68031481"/>
    <w:multiLevelType w:val="hybridMultilevel"/>
    <w:tmpl w:val="1DAEE4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2358D"/>
    <w:multiLevelType w:val="hybridMultilevel"/>
    <w:tmpl w:val="60A64CBE"/>
    <w:lvl w:ilvl="0" w:tplc="CD80431E">
      <w:start w:val="100"/>
      <w:numFmt w:val="decimal"/>
      <w:lvlText w:val="%1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094958"/>
    <w:multiLevelType w:val="hybridMultilevel"/>
    <w:tmpl w:val="0AB0790E"/>
    <w:lvl w:ilvl="0" w:tplc="715065BA">
      <w:numFmt w:val="bullet"/>
      <w:lvlText w:val="—"/>
      <w:lvlJc w:val="left"/>
      <w:pPr>
        <w:ind w:left="566" w:hanging="271"/>
      </w:pPr>
      <w:rPr>
        <w:rFonts w:ascii="Times New Roman" w:eastAsia="Times New Roman" w:hAnsi="Times New Roman" w:cs="Times New Roman" w:hint="default"/>
        <w:w w:val="24"/>
        <w:sz w:val="26"/>
        <w:szCs w:val="26"/>
        <w:lang w:val="uk-UA" w:eastAsia="en-US" w:bidi="ar-SA"/>
      </w:rPr>
    </w:lvl>
    <w:lvl w:ilvl="1" w:tplc="2058239E">
      <w:numFmt w:val="bullet"/>
      <w:lvlText w:val="•"/>
      <w:lvlJc w:val="left"/>
      <w:pPr>
        <w:ind w:left="1540" w:hanging="271"/>
      </w:pPr>
      <w:rPr>
        <w:rFonts w:hint="default"/>
        <w:lang w:val="uk-UA" w:eastAsia="en-US" w:bidi="ar-SA"/>
      </w:rPr>
    </w:lvl>
    <w:lvl w:ilvl="2" w:tplc="BEDA43CC">
      <w:numFmt w:val="bullet"/>
      <w:lvlText w:val="•"/>
      <w:lvlJc w:val="left"/>
      <w:pPr>
        <w:ind w:left="2520" w:hanging="271"/>
      </w:pPr>
      <w:rPr>
        <w:rFonts w:hint="default"/>
        <w:lang w:val="uk-UA" w:eastAsia="en-US" w:bidi="ar-SA"/>
      </w:rPr>
    </w:lvl>
    <w:lvl w:ilvl="3" w:tplc="56E4C180">
      <w:numFmt w:val="bullet"/>
      <w:lvlText w:val="•"/>
      <w:lvlJc w:val="left"/>
      <w:pPr>
        <w:ind w:left="3500" w:hanging="271"/>
      </w:pPr>
      <w:rPr>
        <w:rFonts w:hint="default"/>
        <w:lang w:val="uk-UA" w:eastAsia="en-US" w:bidi="ar-SA"/>
      </w:rPr>
    </w:lvl>
    <w:lvl w:ilvl="4" w:tplc="0172E862">
      <w:numFmt w:val="bullet"/>
      <w:lvlText w:val="•"/>
      <w:lvlJc w:val="left"/>
      <w:pPr>
        <w:ind w:left="4480" w:hanging="271"/>
      </w:pPr>
      <w:rPr>
        <w:rFonts w:hint="default"/>
        <w:lang w:val="uk-UA" w:eastAsia="en-US" w:bidi="ar-SA"/>
      </w:rPr>
    </w:lvl>
    <w:lvl w:ilvl="5" w:tplc="B316D3EE">
      <w:numFmt w:val="bullet"/>
      <w:lvlText w:val="•"/>
      <w:lvlJc w:val="left"/>
      <w:pPr>
        <w:ind w:left="5460" w:hanging="271"/>
      </w:pPr>
      <w:rPr>
        <w:rFonts w:hint="default"/>
        <w:lang w:val="uk-UA" w:eastAsia="en-US" w:bidi="ar-SA"/>
      </w:rPr>
    </w:lvl>
    <w:lvl w:ilvl="6" w:tplc="FEFA5BD2">
      <w:numFmt w:val="bullet"/>
      <w:lvlText w:val="•"/>
      <w:lvlJc w:val="left"/>
      <w:pPr>
        <w:ind w:left="6440" w:hanging="271"/>
      </w:pPr>
      <w:rPr>
        <w:rFonts w:hint="default"/>
        <w:lang w:val="uk-UA" w:eastAsia="en-US" w:bidi="ar-SA"/>
      </w:rPr>
    </w:lvl>
    <w:lvl w:ilvl="7" w:tplc="F9F6136E">
      <w:numFmt w:val="bullet"/>
      <w:lvlText w:val="•"/>
      <w:lvlJc w:val="left"/>
      <w:pPr>
        <w:ind w:left="7420" w:hanging="271"/>
      </w:pPr>
      <w:rPr>
        <w:rFonts w:hint="default"/>
        <w:lang w:val="uk-UA" w:eastAsia="en-US" w:bidi="ar-SA"/>
      </w:rPr>
    </w:lvl>
    <w:lvl w:ilvl="8" w:tplc="D9E4A91A">
      <w:numFmt w:val="bullet"/>
      <w:lvlText w:val="•"/>
      <w:lvlJc w:val="left"/>
      <w:pPr>
        <w:ind w:left="8400" w:hanging="271"/>
      </w:pPr>
      <w:rPr>
        <w:rFonts w:hint="default"/>
        <w:lang w:val="uk-UA" w:eastAsia="en-US" w:bidi="ar-SA"/>
      </w:rPr>
    </w:lvl>
  </w:abstractNum>
  <w:abstractNum w:abstractNumId="7">
    <w:nsid w:val="759D4E89"/>
    <w:multiLevelType w:val="multilevel"/>
    <w:tmpl w:val="5E0EC6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C"/>
    <w:rsid w:val="00385FAE"/>
    <w:rsid w:val="004D3C4D"/>
    <w:rsid w:val="0051397C"/>
    <w:rsid w:val="00560D37"/>
    <w:rsid w:val="00561C60"/>
    <w:rsid w:val="005F4C38"/>
    <w:rsid w:val="006E0009"/>
    <w:rsid w:val="00776701"/>
    <w:rsid w:val="008A2E89"/>
    <w:rsid w:val="00924BF6"/>
    <w:rsid w:val="00927D19"/>
    <w:rsid w:val="00A833E0"/>
    <w:rsid w:val="00BB5DFF"/>
    <w:rsid w:val="00BE27D6"/>
    <w:rsid w:val="00CA72EC"/>
    <w:rsid w:val="00CD25B8"/>
    <w:rsid w:val="00CD772C"/>
    <w:rsid w:val="00D204D1"/>
    <w:rsid w:val="00DA1AC7"/>
    <w:rsid w:val="00E7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833E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76701"/>
  </w:style>
  <w:style w:type="character" w:customStyle="1" w:styleId="a5">
    <w:name w:val="Другое_"/>
    <w:link w:val="a6"/>
    <w:locked/>
    <w:rsid w:val="00776701"/>
    <w:rPr>
      <w:sz w:val="26"/>
      <w:szCs w:val="26"/>
    </w:rPr>
  </w:style>
  <w:style w:type="paragraph" w:customStyle="1" w:styleId="a6">
    <w:name w:val="Другое"/>
    <w:basedOn w:val="a"/>
    <w:link w:val="a5"/>
    <w:rsid w:val="00776701"/>
    <w:pPr>
      <w:widowControl w:val="0"/>
      <w:spacing w:after="0" w:line="240" w:lineRule="auto"/>
      <w:ind w:firstLine="40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833E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76701"/>
  </w:style>
  <w:style w:type="character" w:customStyle="1" w:styleId="a5">
    <w:name w:val="Другое_"/>
    <w:link w:val="a6"/>
    <w:locked/>
    <w:rsid w:val="00776701"/>
    <w:rPr>
      <w:sz w:val="26"/>
      <w:szCs w:val="26"/>
    </w:rPr>
  </w:style>
  <w:style w:type="paragraph" w:customStyle="1" w:styleId="a6">
    <w:name w:val="Другое"/>
    <w:basedOn w:val="a"/>
    <w:link w:val="a5"/>
    <w:rsid w:val="00776701"/>
    <w:pPr>
      <w:widowControl w:val="0"/>
      <w:spacing w:after="0" w:line="240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9329</Words>
  <Characters>5319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Давидченко Світлана Олександрівна</dc:creator>
  <cp:keywords/>
  <dc:description/>
  <cp:lastModifiedBy>Давидченко Світлана Олександрівна</cp:lastModifiedBy>
  <cp:revision>11</cp:revision>
  <dcterms:created xsi:type="dcterms:W3CDTF">2025-02-04T14:07:00Z</dcterms:created>
  <dcterms:modified xsi:type="dcterms:W3CDTF">2025-02-10T11:38:00Z</dcterms:modified>
</cp:coreProperties>
</file>