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9C2AA1" w:rsidRDefault="009C2AA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C2A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ПОСЛУГА З УПРАВЛІННЯ ПОБУТОВИМИ ВІДХОДАМИ</w:t>
      </w:r>
    </w:p>
    <w:p w:rsidR="00131FD5" w:rsidRPr="00021C8D" w:rsidRDefault="00216341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21C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КОДОМ ДК 021:2015 90510000-5 УТИЛІЗАЦІЯ/ВИДАЛЕННЯ СМІТТЯ ТА ПОВОДЖЕННЯ ЗІ СМІТТЯМ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"/>
        <w:gridCol w:w="1984"/>
        <w:gridCol w:w="7239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1361F1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UA-2025-02-13-012616-a</w:t>
            </w:r>
          </w:p>
        </w:tc>
      </w:tr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CA6A64" w:rsidRP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побутовими відходами</w:t>
            </w:r>
            <w:r w:rsidR="00CA6A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7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361F1" w:rsidRPr="001361F1" w:rsidRDefault="001361F1" w:rsidP="001361F1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1361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Запланований обсяг послуг становить – 98 куб.м.</w:t>
            </w:r>
          </w:p>
          <w:p w:rsidR="001361F1" w:rsidRPr="001361F1" w:rsidRDefault="001361F1" w:rsidP="001361F1">
            <w:pPr>
              <w:spacing w:before="120" w:after="120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61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Строк надання послуги: з моменту укладення договору по 31.12.2025 включно.</w:t>
            </w:r>
          </w:p>
          <w:p w:rsidR="001361F1" w:rsidRPr="001361F1" w:rsidRDefault="001361F1" w:rsidP="001361F1">
            <w:pPr>
              <w:spacing w:before="120" w:after="120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1361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Учасник/</w:t>
            </w:r>
            <w:r w:rsidRPr="001361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t>Виконавець надає споживачу послугу з управління змішаними відходами.</w:t>
            </w:r>
          </w:p>
          <w:p w:rsidR="001361F1" w:rsidRDefault="001361F1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</w:pPr>
            <w:r w:rsidRPr="001361F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  <w:t>Послуга з управління побутовими відходами (далі – послуга) надається за системами:</w:t>
            </w:r>
          </w:p>
          <w:p w:rsidR="009364C1" w:rsidRPr="001361F1" w:rsidRDefault="009364C1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</w:pPr>
          </w:p>
          <w:tbl>
            <w:tblPr>
              <w:tblW w:w="7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499"/>
              <w:gridCol w:w="1782"/>
              <w:gridCol w:w="1494"/>
              <w:gridCol w:w="1103"/>
            </w:tblGrid>
            <w:tr w:rsidR="001361F1" w:rsidRPr="001361F1" w:rsidTr="008C4D5C">
              <w:trPr>
                <w:trHeight w:val="17"/>
              </w:trPr>
              <w:tc>
                <w:tcPr>
                  <w:tcW w:w="1896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Вид побутових відходів</w:t>
                  </w:r>
                </w:p>
              </w:tc>
              <w:tc>
                <w:tcPr>
                  <w:tcW w:w="1174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Контейнерна система</w:t>
                  </w:r>
                </w:p>
              </w:tc>
              <w:tc>
                <w:tcPr>
                  <w:tcW w:w="1345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Безконтейнерна система</w:t>
                  </w:r>
                </w:p>
              </w:tc>
              <w:tc>
                <w:tcPr>
                  <w:tcW w:w="1693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Пункт роздільного збирання (зокрема мобільний)</w:t>
                  </w: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За заявкою</w:t>
                  </w:r>
                </w:p>
              </w:tc>
            </w:tr>
            <w:tr w:rsidR="001361F1" w:rsidRPr="001361F1" w:rsidTr="008C4D5C">
              <w:trPr>
                <w:trHeight w:val="17"/>
              </w:trPr>
              <w:tc>
                <w:tcPr>
                  <w:tcW w:w="1896" w:type="dxa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1. Змішані відходи</w:t>
                  </w:r>
                </w:p>
              </w:tc>
              <w:tc>
                <w:tcPr>
                  <w:tcW w:w="1174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х</w:t>
                  </w:r>
                </w:p>
              </w:tc>
              <w:tc>
                <w:tcPr>
                  <w:tcW w:w="1345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-</w:t>
                  </w:r>
                </w:p>
              </w:tc>
              <w:tc>
                <w:tcPr>
                  <w:tcW w:w="1693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-</w:t>
                  </w:r>
                </w:p>
              </w:tc>
              <w:tc>
                <w:tcPr>
                  <w:tcW w:w="1249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-</w:t>
                  </w:r>
                </w:p>
              </w:tc>
            </w:tr>
          </w:tbl>
          <w:p w:rsidR="001361F1" w:rsidRDefault="001361F1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</w:pPr>
            <w:r w:rsidRPr="001361F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  <w:t>Під час збирання побутових відходів за контейнерною системою використовуються технічно справні контейнери:</w:t>
            </w:r>
          </w:p>
          <w:p w:rsidR="009364C1" w:rsidRPr="001361F1" w:rsidRDefault="009364C1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zh-CN"/>
              </w:rPr>
            </w:pPr>
          </w:p>
          <w:tbl>
            <w:tblPr>
              <w:tblW w:w="7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5"/>
              <w:gridCol w:w="1506"/>
              <w:gridCol w:w="2077"/>
              <w:gridCol w:w="1564"/>
            </w:tblGrid>
            <w:tr w:rsidR="001361F1" w:rsidRPr="001361F1" w:rsidTr="008C4D5C">
              <w:trPr>
                <w:trHeight w:val="609"/>
              </w:trPr>
              <w:tc>
                <w:tcPr>
                  <w:tcW w:w="2255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Вид побутових відходів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Кількість контейнерів, одиниць</w:t>
                  </w:r>
                </w:p>
              </w:tc>
              <w:tc>
                <w:tcPr>
                  <w:tcW w:w="2077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Місткість контейнера,куб. метрів</w:t>
                  </w:r>
                </w:p>
              </w:tc>
              <w:tc>
                <w:tcPr>
                  <w:tcW w:w="1564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Власність контейнера</w:t>
                  </w:r>
                </w:p>
              </w:tc>
            </w:tr>
            <w:tr w:rsidR="001361F1" w:rsidRPr="001361F1" w:rsidTr="008C4D5C">
              <w:trPr>
                <w:trHeight w:val="263"/>
              </w:trPr>
              <w:tc>
                <w:tcPr>
                  <w:tcW w:w="2255" w:type="dxa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1. Змішані відходи</w:t>
                  </w:r>
                </w:p>
              </w:tc>
              <w:tc>
                <w:tcPr>
                  <w:tcW w:w="1506" w:type="dxa"/>
                  <w:vAlign w:val="center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3</w:t>
                  </w:r>
                </w:p>
              </w:tc>
              <w:tc>
                <w:tcPr>
                  <w:tcW w:w="2077" w:type="dxa"/>
                  <w:vAlign w:val="center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1</w:t>
                  </w:r>
                </w:p>
              </w:tc>
              <w:tc>
                <w:tcPr>
                  <w:tcW w:w="1564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Споживач</w:t>
                  </w:r>
                </w:p>
              </w:tc>
            </w:tr>
          </w:tbl>
          <w:p w:rsidR="008C4D5C" w:rsidRDefault="008C4D5C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1361F1" w:rsidRDefault="001361F1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1361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  <w:t>Графік, дислокація та кількість контейнерів, обсяг та контакти для перевезення побутових відходів: за контейнерною системою, з пунктів роздільного збирання (зокрема мобільного):</w:t>
            </w:r>
          </w:p>
          <w:p w:rsidR="008C4D5C" w:rsidRDefault="008C4D5C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8C4D5C" w:rsidRDefault="008C4D5C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  <w:p w:rsidR="008C4D5C" w:rsidRPr="001361F1" w:rsidRDefault="008C4D5C" w:rsidP="001361F1">
            <w:pPr>
              <w:suppressAutoHyphens/>
              <w:ind w:firstLine="567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zh-CN"/>
              </w:rPr>
            </w:pPr>
            <w:bookmarkStart w:id="0" w:name="_GoBack"/>
            <w:bookmarkEnd w:id="0"/>
          </w:p>
          <w:tbl>
            <w:tblPr>
              <w:tblW w:w="6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  <w:gridCol w:w="1408"/>
              <w:gridCol w:w="1399"/>
              <w:gridCol w:w="1244"/>
              <w:gridCol w:w="1717"/>
            </w:tblGrid>
            <w:tr w:rsidR="001361F1" w:rsidRPr="001361F1" w:rsidTr="008C4D5C">
              <w:trPr>
                <w:trHeight w:val="2644"/>
                <w:tblHeader/>
              </w:trPr>
              <w:tc>
                <w:tcPr>
                  <w:tcW w:w="1261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Види побутових відходів</w:t>
                  </w:r>
                </w:p>
              </w:tc>
              <w:tc>
                <w:tcPr>
                  <w:tcW w:w="1269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Графік та час перевезення зібраних побутових відходів</w:t>
                  </w:r>
                </w:p>
              </w:tc>
              <w:tc>
                <w:tcPr>
                  <w:tcW w:w="978" w:type="dxa"/>
                  <w:vAlign w:val="center"/>
                </w:tcPr>
                <w:p w:rsidR="001361F1" w:rsidRPr="001361F1" w:rsidRDefault="001361F1" w:rsidP="001361F1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</w:pPr>
                  <w:r w:rsidRPr="001361F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  <w:t>Кількість контейнерів ємкістю 1 м</w:t>
                  </w:r>
                  <w:r w:rsidRPr="001361F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vertAlign w:val="superscript"/>
                      <w:lang w:eastAsia="zh-CN" w:bidi="en-US"/>
                    </w:rPr>
                    <w:t>3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887" w:type="dxa"/>
                  <w:vAlign w:val="center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Обсяг побутових відходів, м</w:t>
                  </w: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vertAlign w:val="superscript"/>
                      <w:lang w:eastAsia="zh-CN"/>
                    </w:rPr>
                    <w:t>3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391" w:type="dxa"/>
                  <w:vAlign w:val="center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Адреса пункту роздільного збирання (зокрема мобільного)</w:t>
                  </w:r>
                </w:p>
              </w:tc>
            </w:tr>
            <w:tr w:rsidR="001361F1" w:rsidRPr="001361F1" w:rsidTr="008C4D5C">
              <w:trPr>
                <w:trHeight w:val="2096"/>
              </w:trPr>
              <w:tc>
                <w:tcPr>
                  <w:tcW w:w="1261" w:type="dxa"/>
                  <w:hideMark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1.</w:t>
                  </w: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 </w:t>
                  </w: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Змішані відходи</w:t>
                  </w:r>
                </w:p>
              </w:tc>
              <w:tc>
                <w:tcPr>
                  <w:tcW w:w="1269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Субота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08.00 год - 20.00 год.</w:t>
                  </w:r>
                </w:p>
              </w:tc>
              <w:tc>
                <w:tcPr>
                  <w:tcW w:w="978" w:type="dxa"/>
                </w:tcPr>
                <w:p w:rsidR="001361F1" w:rsidRPr="001361F1" w:rsidRDefault="001361F1" w:rsidP="001361F1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</w:pPr>
                  <w:r w:rsidRPr="001361F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  <w:t>2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887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88</w:t>
                  </w:r>
                </w:p>
              </w:tc>
              <w:tc>
                <w:tcPr>
                  <w:tcW w:w="2391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- м. Білгород-Дністровський, вул. Шабська, 104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</w:tr>
            <w:tr w:rsidR="001361F1" w:rsidRPr="001361F1" w:rsidTr="008C4D5C">
              <w:trPr>
                <w:trHeight w:val="481"/>
              </w:trPr>
              <w:tc>
                <w:tcPr>
                  <w:tcW w:w="1261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uk-UA" w:eastAsia="zh-CN"/>
                    </w:rPr>
                    <w:t>2. </w:t>
                  </w: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val="en-AU" w:eastAsia="zh-CN"/>
                    </w:rPr>
                    <w:t>Змішані відходи</w:t>
                  </w:r>
                </w:p>
              </w:tc>
              <w:tc>
                <w:tcPr>
                  <w:tcW w:w="1269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Понеділок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08.00 год - 20.00 год.</w:t>
                  </w:r>
                </w:p>
              </w:tc>
              <w:tc>
                <w:tcPr>
                  <w:tcW w:w="978" w:type="dxa"/>
                </w:tcPr>
                <w:p w:rsidR="001361F1" w:rsidRPr="001361F1" w:rsidRDefault="001361F1" w:rsidP="001361F1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</w:pPr>
                  <w:r w:rsidRPr="001361F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zh-CN" w:bidi="en-US"/>
                    </w:rPr>
                    <w:t>1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887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10</w:t>
                  </w:r>
                </w:p>
                <w:p w:rsidR="001361F1" w:rsidRPr="001361F1" w:rsidRDefault="001361F1" w:rsidP="001361F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391" w:type="dxa"/>
                </w:tcPr>
                <w:p w:rsidR="001361F1" w:rsidRPr="001361F1" w:rsidRDefault="001361F1" w:rsidP="001361F1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</w:pPr>
                  <w:r w:rsidRPr="001361F1">
                    <w:rPr>
                      <w:rFonts w:ascii="Times New Roman" w:eastAsia="Calibri" w:hAnsi="Times New Roman" w:cs="Times New Roman"/>
                      <w:noProof/>
                      <w:sz w:val="23"/>
                      <w:szCs w:val="23"/>
                      <w:lang w:eastAsia="zh-CN"/>
                    </w:rPr>
                    <w:t>- м. Білгород-Дністровський, вул. Шабська, 104-А</w:t>
                  </w:r>
                </w:p>
              </w:tc>
            </w:tr>
          </w:tbl>
          <w:p w:rsidR="00560849" w:rsidRPr="00AA0E4A" w:rsidRDefault="001361F1" w:rsidP="008C4D5C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1361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Критеріями якості надання послуги з управління побутовими відходами є дотримання графіка збирання та перевезення побутових відходів, дотримання правил надання послуги та інших вимог законодавства.</w:t>
            </w:r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8C4D5C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 w:rsidR="008C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2025 рік, становить 31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8C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060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8C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12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5867F4" w:rsidRPr="001361F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C4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C4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060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C4D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682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7B07" w:rsidRPr="00912641" w:rsidRDefault="00F97B07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7C35D0">
            <w:pPr>
              <w:shd w:val="clear" w:color="auto" w:fill="FFFFFF"/>
              <w:spacing w:line="301" w:lineRule="atLeast"/>
              <w:ind w:firstLine="5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C4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Ізмаїл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закупівельних цін попередніх </w:t>
            </w:r>
            <w:proofErr w:type="spellStart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21C8D"/>
    <w:rsid w:val="000878CA"/>
    <w:rsid w:val="00094606"/>
    <w:rsid w:val="000C1787"/>
    <w:rsid w:val="000D3942"/>
    <w:rsid w:val="00105DE0"/>
    <w:rsid w:val="00130C1E"/>
    <w:rsid w:val="00131FD5"/>
    <w:rsid w:val="001361F1"/>
    <w:rsid w:val="001372D9"/>
    <w:rsid w:val="00157F23"/>
    <w:rsid w:val="00171041"/>
    <w:rsid w:val="001864AF"/>
    <w:rsid w:val="00191441"/>
    <w:rsid w:val="0019145B"/>
    <w:rsid w:val="00216341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422EC2"/>
    <w:rsid w:val="004B2DD4"/>
    <w:rsid w:val="00504E23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45F7"/>
    <w:rsid w:val="0060692C"/>
    <w:rsid w:val="00624E09"/>
    <w:rsid w:val="00630149"/>
    <w:rsid w:val="006313E5"/>
    <w:rsid w:val="00640060"/>
    <w:rsid w:val="00643461"/>
    <w:rsid w:val="00682079"/>
    <w:rsid w:val="006A7A7A"/>
    <w:rsid w:val="006B2543"/>
    <w:rsid w:val="006E7A9F"/>
    <w:rsid w:val="006F50D3"/>
    <w:rsid w:val="006F7AF3"/>
    <w:rsid w:val="00711A5F"/>
    <w:rsid w:val="00723A7E"/>
    <w:rsid w:val="007573FD"/>
    <w:rsid w:val="00766050"/>
    <w:rsid w:val="00772C64"/>
    <w:rsid w:val="007764A9"/>
    <w:rsid w:val="007903AE"/>
    <w:rsid w:val="007C231B"/>
    <w:rsid w:val="007C35D0"/>
    <w:rsid w:val="007C7B92"/>
    <w:rsid w:val="007D6422"/>
    <w:rsid w:val="007E7B55"/>
    <w:rsid w:val="0080014F"/>
    <w:rsid w:val="008210B9"/>
    <w:rsid w:val="00832FA7"/>
    <w:rsid w:val="008407AB"/>
    <w:rsid w:val="00844C90"/>
    <w:rsid w:val="00860A40"/>
    <w:rsid w:val="008C4D5C"/>
    <w:rsid w:val="008D5F30"/>
    <w:rsid w:val="008E5560"/>
    <w:rsid w:val="00912641"/>
    <w:rsid w:val="009364C1"/>
    <w:rsid w:val="00937340"/>
    <w:rsid w:val="009534A5"/>
    <w:rsid w:val="009C2AA1"/>
    <w:rsid w:val="009E0E2B"/>
    <w:rsid w:val="009E61B3"/>
    <w:rsid w:val="009F62B5"/>
    <w:rsid w:val="00A11D77"/>
    <w:rsid w:val="00A469FA"/>
    <w:rsid w:val="00AA0E4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B6962"/>
    <w:rsid w:val="00BC080B"/>
    <w:rsid w:val="00BC4F03"/>
    <w:rsid w:val="00BE73DD"/>
    <w:rsid w:val="00C14F90"/>
    <w:rsid w:val="00C57483"/>
    <w:rsid w:val="00C712E9"/>
    <w:rsid w:val="00C76F8D"/>
    <w:rsid w:val="00CA15D2"/>
    <w:rsid w:val="00CA6A64"/>
    <w:rsid w:val="00CA76CC"/>
    <w:rsid w:val="00CD2080"/>
    <w:rsid w:val="00CE04A2"/>
    <w:rsid w:val="00CE6895"/>
    <w:rsid w:val="00DC28E1"/>
    <w:rsid w:val="00DE4B2A"/>
    <w:rsid w:val="00E53990"/>
    <w:rsid w:val="00E66428"/>
    <w:rsid w:val="00E82989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7D5E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125</cp:revision>
  <dcterms:created xsi:type="dcterms:W3CDTF">2022-12-14T12:00:00Z</dcterms:created>
  <dcterms:modified xsi:type="dcterms:W3CDTF">2025-02-13T14:58:00Z</dcterms:modified>
</cp:coreProperties>
</file>