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0" w:rsidRDefault="00A833E0" w:rsidP="00A833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ЗАКУПІВЛІ, РОЗМІРУ БЮДЖЕТНОГО ПРИЗНАЧЕННЯ, ОЧІКУВАНОЇ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ВАРТОСТІ ПРЕДМЕТА ЗАКУПІВЛІ</w:t>
      </w:r>
    </w:p>
    <w:p w:rsidR="00A833E0" w:rsidRDefault="00A833E0" w:rsidP="00A833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3E0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385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A833E0" w:rsidRPr="00E133CF" w:rsidRDefault="00A833E0" w:rsidP="00E13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Предмет закупівлі: </w:t>
      </w:r>
      <w:bookmarkStart w:id="0" w:name="_Hlk123216392"/>
      <w:r w:rsidR="00C2781E" w:rsidRPr="00C2781E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Послуги з підключення та користування SIP-телефонією</w:t>
      </w:r>
      <w:r w:rsidR="00E133CF" w:rsidRPr="00E133C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0"/>
      <w:r w:rsidR="00E133CF" w:rsidRPr="00E133C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кодом ДК 021:2015 64210000-1 «Послуги телефонного зв’язку  та передачі даних» (64215000-6</w:t>
      </w:r>
      <w:r w:rsidR="00E133CF" w:rsidRPr="00E133C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E133CF" w:rsidRPr="00E133C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«Послуги  </w:t>
      </w:r>
      <w:proofErr w:type="spellStart"/>
      <w:r w:rsidR="00E133CF" w:rsidRPr="00E133C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ІР-телефонії</w:t>
      </w:r>
      <w:proofErr w:type="spellEnd"/>
      <w:r w:rsidR="00E133CF" w:rsidRPr="00E133C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»)</w:t>
      </w:r>
      <w:r w:rsidR="00385FAE" w:rsidRPr="00E13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FAE" w:rsidRPr="00385FAE" w:rsidRDefault="00385FAE" w:rsidP="0038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3E0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доцільності закупівлі</w:t>
      </w:r>
      <w:r w:rsid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13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781E" w:rsidRPr="00C278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33CF" w:rsidRPr="00E133C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 забезпечення функціонування Кропивницької митниці та виконання делегованих їй окремих повноважень Держмитслужби, визначених у Положенні про Кропивницьку митницю, забезпечення митниці користуванням телефонним зв’язком, необхідно здійснити закупівлю послуги з користуван</w:t>
      </w:r>
      <w:r w:rsidR="00C2781E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телефонним зв’язком.</w:t>
      </w:r>
    </w:p>
    <w:p w:rsidR="00A833E0" w:rsidRPr="00E133CF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обсягів закупівлі</w:t>
      </w:r>
      <w:r w:rsid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13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7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E133CF" w:rsidRPr="00E13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акупівля мінімального пакету послуг.</w:t>
      </w:r>
    </w:p>
    <w:p w:rsidR="00E133CF" w:rsidRDefault="00927D19" w:rsidP="00E133CF">
      <w:pPr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13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33CF" w:rsidRPr="00E133CF" w:rsidRDefault="00E133CF" w:rsidP="00E133CF">
      <w:pPr>
        <w:tabs>
          <w:tab w:val="left" w:pos="1134"/>
        </w:tabs>
        <w:suppressAutoHyphens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E133CF">
        <w:rPr>
          <w:rFonts w:ascii="Times New Roman" w:hAnsi="Times New Roman" w:cs="Times New Roman"/>
          <w:b/>
          <w:color w:val="000000"/>
          <w:sz w:val="28"/>
          <w:szCs w:val="28"/>
        </w:rPr>
        <w:t>Загальні вимоги:</w:t>
      </w:r>
    </w:p>
    <w:p w:rsidR="00E133CF" w:rsidRPr="00E133CF" w:rsidRDefault="00E133CF" w:rsidP="00E133CF">
      <w:pPr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Послуги </w:t>
      </w:r>
      <w:r w:rsidRPr="00E133C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телефонного зв’язку та передачі даних</w:t>
      </w:r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 повинні надаватися відповідно до чинних в Україні законодавчих та нормативних актів, зокрема:</w:t>
      </w:r>
    </w:p>
    <w:p w:rsidR="00E133CF" w:rsidRPr="00E133CF" w:rsidRDefault="00E133CF" w:rsidP="00E133CF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електронні комунікації»;</w:t>
      </w:r>
    </w:p>
    <w:p w:rsidR="00E133CF" w:rsidRPr="00E133CF" w:rsidRDefault="00E133CF" w:rsidP="00E133CF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Указу Президента України «Про деякі заходи щодо захисту державних інформаційних ресурсів у мережах передачі даних» від 24 вересня 2001 р. № 891/2001; </w:t>
      </w:r>
    </w:p>
    <w:p w:rsidR="00E133CF" w:rsidRPr="00E133CF" w:rsidRDefault="00E133CF" w:rsidP="00E133CF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E133CF">
        <w:rPr>
          <w:rFonts w:ascii="Times New Roman" w:hAnsi="Times New Roman" w:cs="Times New Roman"/>
          <w:color w:val="000000"/>
          <w:sz w:val="28"/>
          <w:szCs w:val="28"/>
        </w:rPr>
        <w:t>Держспецзв'язку</w:t>
      </w:r>
      <w:proofErr w:type="spellEnd"/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 від 10.06.2008 № 94, зареєстрованого в Міністерстві юстиції України 7 липня 2008 р. за № 603/15294;</w:t>
      </w:r>
    </w:p>
    <w:p w:rsidR="00E133CF" w:rsidRPr="00E133CF" w:rsidRDefault="00E133CF" w:rsidP="00E133CF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>Правил надання та отримання телекомунікаційних послуг, затверджених постановою Кабінету Міністрів України від 11 квітня 2012 р. № 295, та інших нормативно-правових актів України у сфері електронних комунікацій.</w:t>
      </w:r>
    </w:p>
    <w:p w:rsidR="00E133CF" w:rsidRPr="00E133CF" w:rsidRDefault="00E133CF" w:rsidP="00E133CF">
      <w:pPr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постанови Кабінету Міністрів України від 19 червня 2019 р. </w:t>
      </w:r>
      <w:r w:rsidRPr="00E133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33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№ 518 «Про затвердження Загальних вимог до </w:t>
      </w:r>
      <w:proofErr w:type="spellStart"/>
      <w:r w:rsidRPr="00E133CF">
        <w:rPr>
          <w:rFonts w:ascii="Times New Roman" w:hAnsi="Times New Roman" w:cs="Times New Roman"/>
          <w:color w:val="000000"/>
          <w:sz w:val="28"/>
          <w:szCs w:val="28"/>
        </w:rPr>
        <w:t>кіберзахисту</w:t>
      </w:r>
      <w:proofErr w:type="spellEnd"/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критичної інфраструктури» для забезпечення </w:t>
      </w:r>
      <w:proofErr w:type="spellStart"/>
      <w:r w:rsidRPr="00E133CF">
        <w:rPr>
          <w:rFonts w:ascii="Times New Roman" w:hAnsi="Times New Roman" w:cs="Times New Roman"/>
          <w:color w:val="000000"/>
          <w:sz w:val="28"/>
          <w:szCs w:val="28"/>
        </w:rPr>
        <w:t>відмовостійкості</w:t>
      </w:r>
      <w:proofErr w:type="spellEnd"/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 об’єкта критичної інформаційної інфраструктури об’єкта критичної інфраструктури повинно здійснюватися (для об’єкта критичної інфраструктури, які надають свої послуги через Інтернет) зв’язок з Інтернетом з використанням двох та більше каналів передачі даних, які надаються різними операторами мережі передачі даних (провайдерами) (абзац сьомий пункту 38 Переліку базових вимог із забезпечення </w:t>
      </w:r>
      <w:proofErr w:type="spellStart"/>
      <w:r w:rsidRPr="00E133CF">
        <w:rPr>
          <w:rFonts w:ascii="Times New Roman" w:hAnsi="Times New Roman" w:cs="Times New Roman"/>
          <w:color w:val="000000"/>
          <w:sz w:val="28"/>
          <w:szCs w:val="28"/>
        </w:rPr>
        <w:t>кіберзахисту</w:t>
      </w:r>
      <w:proofErr w:type="spellEnd"/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критичної інфраструктури додатку до Загальних вимог).</w:t>
      </w:r>
    </w:p>
    <w:p w:rsidR="00E133CF" w:rsidRPr="00E133CF" w:rsidRDefault="00E133CF" w:rsidP="00C2781E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b/>
          <w:color w:val="000000"/>
          <w:sz w:val="28"/>
          <w:szCs w:val="28"/>
        </w:rPr>
        <w:t>Місце надання послуг:</w:t>
      </w:r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33CF">
        <w:rPr>
          <w:rFonts w:ascii="Times New Roman" w:eastAsia="Calibri" w:hAnsi="Times New Roman" w:cs="Times New Roman"/>
          <w:color w:val="000000"/>
          <w:sz w:val="28"/>
          <w:szCs w:val="28"/>
        </w:rPr>
        <w:t>25030, м. Кропивницький, вул. Лавандова, 27-Б</w:t>
      </w:r>
      <w:r w:rsidRPr="00E133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33CF" w:rsidRPr="00E133CF" w:rsidRDefault="00E133CF" w:rsidP="00C2781E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b/>
          <w:color w:val="000000"/>
          <w:sz w:val="28"/>
          <w:szCs w:val="28"/>
        </w:rPr>
        <w:t>Вимоги до послуги:</w:t>
      </w:r>
    </w:p>
    <w:tbl>
      <w:tblPr>
        <w:tblW w:w="5000" w:type="pct"/>
        <w:tblLayout w:type="fixed"/>
        <w:tblCellMar>
          <w:left w:w="88" w:type="dxa"/>
        </w:tblCellMar>
        <w:tblLook w:val="00A0" w:firstRow="1" w:lastRow="0" w:firstColumn="1" w:lastColumn="0" w:noHBand="0" w:noVBand="0"/>
      </w:tblPr>
      <w:tblGrid>
        <w:gridCol w:w="523"/>
        <w:gridCol w:w="4543"/>
        <w:gridCol w:w="4769"/>
      </w:tblGrid>
      <w:tr w:rsidR="00E133CF" w:rsidRPr="00E133CF" w:rsidTr="00C2781E">
        <w:trPr>
          <w:trHeight w:val="364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Тип характеристик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Вимоги</w:t>
            </w:r>
          </w:p>
        </w:tc>
      </w:tr>
      <w:tr w:rsidR="00E133CF" w:rsidRPr="00E133CF" w:rsidTr="00C2781E">
        <w:trPr>
          <w:trHeight w:val="486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Технологія послуг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IP телефонія з послугою «Віртуальна АТС»</w:t>
            </w:r>
          </w:p>
        </w:tc>
      </w:tr>
      <w:tr w:rsidR="00E133CF" w:rsidRPr="00E133CF" w:rsidTr="00C2781E">
        <w:trPr>
          <w:trHeight w:val="401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Загальна кількість зовнішніх номерів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33CF" w:rsidRPr="00E133CF" w:rsidTr="00E133CF">
        <w:trPr>
          <w:trHeight w:val="70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Загальна кількість внутрішніх ліній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E133CF" w:rsidRPr="00E133CF" w:rsidTr="00E133CF">
        <w:trPr>
          <w:trHeight w:val="570"/>
        </w:trPr>
        <w:tc>
          <w:tcPr>
            <w:tcW w:w="5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Нетарифіковані</w:t>
            </w:r>
            <w:proofErr w:type="spellEnd"/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хвилини на дзвінки на всі національні напрями (хвилин)</w:t>
            </w:r>
          </w:p>
        </w:tc>
        <w:tc>
          <w:tcPr>
            <w:tcW w:w="47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500 хв.</w:t>
            </w:r>
          </w:p>
        </w:tc>
      </w:tr>
      <w:tr w:rsidR="00E133CF" w:rsidRPr="00E133CF" w:rsidTr="00E133CF">
        <w:trPr>
          <w:trHeight w:val="570"/>
        </w:trPr>
        <w:tc>
          <w:tcPr>
            <w:tcW w:w="5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3CF" w:rsidRPr="00E133CF" w:rsidTr="00C2781E">
        <w:trPr>
          <w:trHeight w:val="570"/>
        </w:trPr>
        <w:tc>
          <w:tcPr>
            <w:tcW w:w="5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3CF" w:rsidRPr="00E133CF" w:rsidTr="00E133CF">
        <w:trPr>
          <w:trHeight w:val="326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Обладнання Замовника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 xml:space="preserve">IP-апарати </w:t>
            </w:r>
            <w:proofErr w:type="spellStart"/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E133CF">
              <w:rPr>
                <w:rFonts w:ascii="Times New Roman" w:hAnsi="Times New Roman" w:cs="Times New Roman"/>
                <w:sz w:val="28"/>
                <w:szCs w:val="28"/>
              </w:rPr>
              <w:t xml:space="preserve"> CP-3905</w:t>
            </w:r>
          </w:p>
        </w:tc>
      </w:tr>
      <w:tr w:rsidR="00E133CF" w:rsidRPr="00E133CF" w:rsidTr="00E133CF">
        <w:trPr>
          <w:trHeight w:val="218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Технологія підключення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 xml:space="preserve">SIP </w:t>
            </w:r>
          </w:p>
        </w:tc>
      </w:tr>
      <w:tr w:rsidR="00E133CF" w:rsidRPr="00E133CF" w:rsidTr="00E133CF">
        <w:trPr>
          <w:trHeight w:val="222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Технологія з’єднання обладнання Замовника з обладнанням Учасника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</w:p>
        </w:tc>
      </w:tr>
      <w:tr w:rsidR="00E133CF" w:rsidRPr="00E133CF" w:rsidTr="00C2781E">
        <w:trPr>
          <w:trHeight w:val="2519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Тип </w:t>
            </w:r>
            <w:proofErr w:type="spellStart"/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кодеків</w:t>
            </w:r>
            <w:proofErr w:type="spellEnd"/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, що підтримуються мережевим обладнанням Замовника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G.711a</w:t>
            </w:r>
          </w:p>
          <w:p w:rsidR="00E133CF" w:rsidRPr="00E133CF" w:rsidRDefault="00E133CF" w:rsidP="00417113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G.711μ</w:t>
            </w:r>
          </w:p>
          <w:p w:rsidR="00E133CF" w:rsidRPr="00E133CF" w:rsidRDefault="00E133CF" w:rsidP="00417113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G.729</w:t>
            </w:r>
          </w:p>
          <w:p w:rsidR="00E133CF" w:rsidRPr="00E133CF" w:rsidRDefault="00E133CF" w:rsidP="00417113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G.729a</w:t>
            </w:r>
          </w:p>
          <w:p w:rsidR="00E133CF" w:rsidRPr="00C2781E" w:rsidRDefault="00E133CF" w:rsidP="00C2781E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G.729ab</w:t>
            </w:r>
          </w:p>
        </w:tc>
      </w:tr>
      <w:tr w:rsidR="00E133CF" w:rsidRPr="00E133CF" w:rsidTr="00E133CF">
        <w:trPr>
          <w:trHeight w:val="242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spacing w:after="14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Тип протоколів SIP, що підтримуються мережевим обладнанням Замовника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spacing w:after="1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SIP RFC 3261, SIP RFC 2327</w:t>
            </w:r>
          </w:p>
        </w:tc>
      </w:tr>
      <w:tr w:rsidR="00E133CF" w:rsidRPr="00E133CF" w:rsidTr="00E133CF">
        <w:trPr>
          <w:trHeight w:val="713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Час відгуку служби технічної підтримки Учасника на аварійні ситуації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Не більше 30 хвилин</w:t>
            </w:r>
          </w:p>
        </w:tc>
      </w:tr>
      <w:tr w:rsidR="00E133CF" w:rsidRPr="00E133CF" w:rsidTr="00E133CF">
        <w:trPr>
          <w:trHeight w:val="70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33C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Час відновлення надання послуг у разі аварійної ситуації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Не більше 1 години у робочий час.</w:t>
            </w:r>
          </w:p>
          <w:p w:rsidR="00E133CF" w:rsidRPr="00E133CF" w:rsidRDefault="00E133CF" w:rsidP="0041711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133CF">
              <w:rPr>
                <w:rFonts w:ascii="Times New Roman" w:hAnsi="Times New Roman" w:cs="Times New Roman"/>
                <w:sz w:val="28"/>
                <w:szCs w:val="28"/>
              </w:rPr>
              <w:t>Не більше 4 годин у неробочий час.</w:t>
            </w:r>
          </w:p>
        </w:tc>
      </w:tr>
    </w:tbl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 xml:space="preserve">Налаштування IP-апаратів для підключення до «Віртуальної АТС».  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Груповий розподіл дзвінків.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Групове перехоплення дзвінків.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Переведення дзвінка.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Налаштування зовнішньої і внутрішньої маршрутизації дзвінків за часом.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Налаштування маршрутизації вихідного зв'язку.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Управління обмеженням вхідних дзвінків (Чорний список).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Управління обмеженням вихідних дзвінків.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 xml:space="preserve">Управління через </w:t>
      </w:r>
      <w:proofErr w:type="spellStart"/>
      <w:r w:rsidRPr="00E133CF"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 w:rsidRPr="00E133CF">
        <w:rPr>
          <w:rFonts w:ascii="Times New Roman" w:hAnsi="Times New Roman" w:cs="Times New Roman"/>
          <w:sz w:val="28"/>
          <w:szCs w:val="28"/>
        </w:rPr>
        <w:t>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 xml:space="preserve">Історія дзвінків на </w:t>
      </w:r>
      <w:proofErr w:type="spellStart"/>
      <w:r w:rsidRPr="00E133CF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Pr="00E133CF">
        <w:rPr>
          <w:rFonts w:ascii="Times New Roman" w:hAnsi="Times New Roman" w:cs="Times New Roman"/>
          <w:sz w:val="28"/>
          <w:szCs w:val="28"/>
        </w:rPr>
        <w:t>.</w:t>
      </w:r>
    </w:p>
    <w:p w:rsidR="00E133CF" w:rsidRPr="00E133CF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 xml:space="preserve">Повний набір послуг типових для </w:t>
      </w:r>
      <w:proofErr w:type="spellStart"/>
      <w:r w:rsidRPr="00E133CF">
        <w:rPr>
          <w:rFonts w:ascii="Times New Roman" w:hAnsi="Times New Roman" w:cs="Times New Roman"/>
          <w:sz w:val="28"/>
          <w:szCs w:val="28"/>
        </w:rPr>
        <w:t>міні-АТС</w:t>
      </w:r>
      <w:proofErr w:type="spellEnd"/>
      <w:r w:rsidRPr="00E133CF">
        <w:rPr>
          <w:rFonts w:ascii="Times New Roman" w:hAnsi="Times New Roman" w:cs="Times New Roman"/>
          <w:sz w:val="28"/>
          <w:szCs w:val="28"/>
        </w:rPr>
        <w:t>.</w:t>
      </w:r>
    </w:p>
    <w:p w:rsidR="00E133CF" w:rsidRPr="00C2781E" w:rsidRDefault="00E133CF" w:rsidP="00E133C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CF">
        <w:rPr>
          <w:rFonts w:ascii="Times New Roman" w:hAnsi="Times New Roman" w:cs="Times New Roman"/>
          <w:sz w:val="28"/>
          <w:szCs w:val="28"/>
        </w:rPr>
        <w:t>Запис розмов з можливістю прослуховування в особистому кабінеті.</w:t>
      </w:r>
    </w:p>
    <w:p w:rsidR="00E133CF" w:rsidRPr="00E133CF" w:rsidRDefault="00E133CF" w:rsidP="00E133CF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3CF">
        <w:rPr>
          <w:rFonts w:ascii="Times New Roman" w:hAnsi="Times New Roman" w:cs="Times New Roman"/>
          <w:b/>
          <w:color w:val="000000"/>
          <w:sz w:val="28"/>
          <w:szCs w:val="28"/>
        </w:rPr>
        <w:t>Вимоги до операторського та технічного супроводження.</w:t>
      </w:r>
    </w:p>
    <w:p w:rsidR="00E133CF" w:rsidRPr="00E133CF" w:rsidRDefault="00E133CF" w:rsidP="00E133CF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>Виконавець</w:t>
      </w:r>
      <w:r w:rsidRPr="00E133CF">
        <w:rPr>
          <w:rFonts w:ascii="Times New Roman" w:hAnsi="Times New Roman" w:cs="Times New Roman"/>
          <w:sz w:val="28"/>
          <w:szCs w:val="28"/>
        </w:rPr>
        <w:t xml:space="preserve"> повинен бути включений до Реєстру постачальників електронних комунікаційних мереж та послуг, затвердженого Постановою Національної комісії, що здійснює регулювання у сферах електронних комунікацій, радіочастотного спектра та надання послуг поштового зв’язку (далі НКЕК) від 20.04.2022 № 30 «Питання ведення реєстру постачальників електронних комунікаційних мереж та послуг»</w:t>
      </w:r>
      <w:r w:rsidRPr="00E133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33CF" w:rsidRPr="00E133CF" w:rsidRDefault="00E133CF" w:rsidP="00E133CF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>Виконавець повинен мати власний Центр технічної підтримки що працює в режимі: 24х7х365 (цілодобово (00:00-24:00) з понеділка по неділю включно, 365 днів на рік з можливістю звернення по телефону, через веб-сайт, електронну пошту (e-</w:t>
      </w:r>
      <w:proofErr w:type="spellStart"/>
      <w:r w:rsidRPr="00E133CF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E133C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133CF" w:rsidRPr="00E133CF" w:rsidRDefault="00E133CF" w:rsidP="00E133CF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>Виконавець повинен надати Замовнику перелік телефонів, веб-сайт та електронну пошту (e-</w:t>
      </w:r>
      <w:proofErr w:type="spellStart"/>
      <w:r w:rsidRPr="00E133CF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E133CF">
        <w:rPr>
          <w:rFonts w:ascii="Times New Roman" w:hAnsi="Times New Roman" w:cs="Times New Roman"/>
          <w:color w:val="000000"/>
          <w:sz w:val="28"/>
          <w:szCs w:val="28"/>
        </w:rPr>
        <w:t xml:space="preserve">) Центру технічної підтримки протягом 2-х календарних днів з моменту підписання Договору. </w:t>
      </w:r>
    </w:p>
    <w:p w:rsidR="00E133CF" w:rsidRPr="00E133CF" w:rsidRDefault="00E133CF" w:rsidP="00E133CF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>Звернення (повідомлення) Замовника повинно обов’язково включати: найменування Замовника; ім'я, прізвище, контактний телефон особи, що звертається; причину звернення;</w:t>
      </w:r>
    </w:p>
    <w:p w:rsidR="00E133CF" w:rsidRPr="00E133CF" w:rsidRDefault="00E133CF" w:rsidP="00E133CF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3CF">
        <w:rPr>
          <w:rFonts w:ascii="Times New Roman" w:hAnsi="Times New Roman" w:cs="Times New Roman"/>
          <w:color w:val="000000"/>
          <w:sz w:val="28"/>
          <w:szCs w:val="28"/>
        </w:rPr>
        <w:t>На підставі звернення (повідомлення) Замовника Виконавець формує заявку, що включає всі відомості, повідомлені Замовником;</w:t>
      </w:r>
    </w:p>
    <w:p w:rsidR="00D920C5" w:rsidRDefault="00D920C5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27D19" w:rsidRDefault="00927D19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6.Обгрунтування бюджетного призначення та/або очікувано</w:t>
      </w:r>
      <w:r w:rsidR="00272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вартості предмета закупівлі. </w:t>
      </w:r>
      <w:r w:rsidR="00E75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1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33CF" w:rsidRDefault="00E133CF" w:rsidP="003C3964">
      <w:pPr>
        <w:spacing w:after="0"/>
        <w:ind w:right="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72DF1">
        <w:rPr>
          <w:rFonts w:ascii="Times New Roman" w:hAnsi="Times New Roman" w:cs="Times New Roman"/>
          <w:sz w:val="28"/>
          <w:szCs w:val="28"/>
        </w:rPr>
        <w:t xml:space="preserve">Вартість предмету закупівлі послуги </w:t>
      </w:r>
      <w:r w:rsidRPr="00272DF1">
        <w:rPr>
          <w:rStyle w:val="a5"/>
          <w:rFonts w:ascii="Times New Roman" w:hAnsi="Times New Roman" w:cs="Times New Roman"/>
          <w:color w:val="000000"/>
          <w:sz w:val="28"/>
          <w:szCs w:val="28"/>
          <w:lang w:eastAsia="uk-UA"/>
        </w:rPr>
        <w:t>телефонного зв’язку та передачі даних (Послуги</w:t>
      </w:r>
      <w:r w:rsidRPr="00272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2DF1">
        <w:rPr>
          <w:rFonts w:ascii="Times New Roman" w:hAnsi="Times New Roman" w:cs="Times New Roman"/>
          <w:sz w:val="28"/>
          <w:szCs w:val="28"/>
        </w:rPr>
        <w:t>Віртуальної АТС</w:t>
      </w:r>
      <w:r w:rsidRPr="00272DF1">
        <w:rPr>
          <w:rStyle w:val="a5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Pr="00272DF1">
        <w:rPr>
          <w:rStyle w:val="a5"/>
          <w:rFonts w:ascii="Times New Roman" w:hAnsi="Times New Roman" w:cs="Times New Roman"/>
          <w:color w:val="000000"/>
          <w:sz w:val="28"/>
          <w:szCs w:val="28"/>
          <w:lang w:val="en-US" w:eastAsia="uk-UA"/>
        </w:rPr>
        <w:t>S</w:t>
      </w:r>
      <w:proofErr w:type="spellStart"/>
      <w:r w:rsidRPr="00272DF1">
        <w:rPr>
          <w:rStyle w:val="a5"/>
          <w:rFonts w:ascii="Times New Roman" w:hAnsi="Times New Roman" w:cs="Times New Roman"/>
          <w:color w:val="000000"/>
          <w:sz w:val="28"/>
          <w:szCs w:val="28"/>
          <w:lang w:eastAsia="uk-UA"/>
        </w:rPr>
        <w:t>ІР-телефонія</w:t>
      </w:r>
      <w:proofErr w:type="spellEnd"/>
      <w:r w:rsidRPr="00272DF1">
        <w:rPr>
          <w:rStyle w:val="a5"/>
          <w:rFonts w:ascii="Times New Roman" w:hAnsi="Times New Roman" w:cs="Times New Roman"/>
          <w:color w:val="000000"/>
          <w:sz w:val="28"/>
          <w:szCs w:val="28"/>
          <w:lang w:eastAsia="uk-UA"/>
        </w:rPr>
        <w:t>))</w:t>
      </w:r>
      <w:r w:rsidRPr="00272DF1">
        <w:rPr>
          <w:rFonts w:ascii="Times New Roman" w:hAnsi="Times New Roman" w:cs="Times New Roman"/>
          <w:sz w:val="28"/>
          <w:szCs w:val="28"/>
        </w:rPr>
        <w:t xml:space="preserve"> (далі - Послуги) розрахована </w:t>
      </w:r>
      <w:r w:rsidRPr="00272DF1">
        <w:rPr>
          <w:rFonts w:ascii="Times New Roman" w:hAnsi="Times New Roman" w:cs="Times New Roman"/>
          <w:sz w:val="28"/>
          <w:szCs w:val="28"/>
        </w:rPr>
        <w:lastRenderedPageBreak/>
        <w:t>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C2781E" w:rsidRPr="00272DF1" w:rsidRDefault="00C2781E" w:rsidP="003C3964">
      <w:pPr>
        <w:spacing w:after="0"/>
        <w:ind w:right="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81E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>
        <w:rPr>
          <w:rFonts w:ascii="Times New Roman" w:hAnsi="Times New Roman" w:cs="Times New Roman"/>
          <w:sz w:val="28"/>
          <w:szCs w:val="28"/>
        </w:rPr>
        <w:t>6750</w:t>
      </w:r>
      <w:r w:rsidRPr="00C2781E">
        <w:rPr>
          <w:rFonts w:ascii="Times New Roman" w:hAnsi="Times New Roman" w:cs="Times New Roman"/>
          <w:sz w:val="28"/>
          <w:szCs w:val="28"/>
        </w:rPr>
        <w:t>,00 грн. з ПДВ.</w:t>
      </w:r>
    </w:p>
    <w:p w:rsidR="00E133CF" w:rsidRDefault="00E133CF" w:rsidP="003C3964">
      <w:pPr>
        <w:spacing w:after="0"/>
        <w:ind w:right="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72DF1">
        <w:rPr>
          <w:rFonts w:ascii="Times New Roman" w:hAnsi="Times New Roman" w:cs="Times New Roman"/>
          <w:sz w:val="28"/>
          <w:szCs w:val="28"/>
        </w:rPr>
        <w:t>Для розрахунків очікуваної вартості забезпечення Кропивницької митниці Віртуа</w:t>
      </w:r>
      <w:r w:rsidR="003C3964">
        <w:rPr>
          <w:rFonts w:ascii="Times New Roman" w:hAnsi="Times New Roman" w:cs="Times New Roman"/>
          <w:sz w:val="28"/>
          <w:szCs w:val="28"/>
        </w:rPr>
        <w:t>льною АТС (</w:t>
      </w:r>
      <w:proofErr w:type="spellStart"/>
      <w:r w:rsidR="003C3964">
        <w:rPr>
          <w:rFonts w:ascii="Times New Roman" w:hAnsi="Times New Roman" w:cs="Times New Roman"/>
          <w:sz w:val="28"/>
          <w:szCs w:val="28"/>
        </w:rPr>
        <w:t>SІР-телефонією</w:t>
      </w:r>
      <w:proofErr w:type="spellEnd"/>
      <w:r w:rsidR="003C3964">
        <w:rPr>
          <w:rFonts w:ascii="Times New Roman" w:hAnsi="Times New Roman" w:cs="Times New Roman"/>
          <w:sz w:val="28"/>
          <w:szCs w:val="28"/>
        </w:rPr>
        <w:t xml:space="preserve">) було </w:t>
      </w:r>
      <w:r w:rsidRPr="00272DF1">
        <w:rPr>
          <w:rFonts w:ascii="Times New Roman" w:hAnsi="Times New Roman" w:cs="Times New Roman"/>
          <w:sz w:val="28"/>
          <w:szCs w:val="28"/>
        </w:rPr>
        <w:t>використано інформацію про вартість аналогічних послуг, які розміщені на відповідних ресурсах мережі Інтернет</w:t>
      </w:r>
      <w:r w:rsidR="003C3964">
        <w:rPr>
          <w:rFonts w:ascii="Times New Roman" w:hAnsi="Times New Roman" w:cs="Times New Roman"/>
          <w:sz w:val="28"/>
          <w:szCs w:val="28"/>
        </w:rPr>
        <w:t>.</w:t>
      </w:r>
    </w:p>
    <w:p w:rsidR="003C3964" w:rsidRPr="00272DF1" w:rsidRDefault="003C3964" w:rsidP="003C3964">
      <w:pPr>
        <w:spacing w:after="0"/>
        <w:ind w:right="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C3964">
        <w:rPr>
          <w:rFonts w:ascii="Times New Roman" w:hAnsi="Times New Roman" w:cs="Times New Roman"/>
          <w:sz w:val="28"/>
          <w:szCs w:val="28"/>
        </w:rPr>
        <w:t>Розмір бюджетного призначення для предмета закупівлі відповідає розрахунку видатків до кошторису Кропивницької митниці на 2025 рік за КПКВ 3506010 – «Керівництво та управління у сфері митної політики»; за КЕКВ 2240 – «Оплата послуг (крім комунальних)».</w:t>
      </w:r>
    </w:p>
    <w:p w:rsidR="00A833E0" w:rsidRPr="00A833E0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833E0" w:rsidRPr="00A833E0" w:rsidSect="00E133CF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309"/>
    <w:multiLevelType w:val="multilevel"/>
    <w:tmpl w:val="C5F24A9E"/>
    <w:lvl w:ilvl="0">
      <w:start w:val="1"/>
      <w:numFmt w:val="decimal"/>
      <w:lvlText w:val="%1."/>
      <w:lvlJc w:val="left"/>
      <w:pPr>
        <w:tabs>
          <w:tab w:val="num" w:pos="426"/>
        </w:tabs>
        <w:ind w:left="816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2551"/>
        </w:tabs>
        <w:ind w:left="2564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40" w:hanging="1800"/>
      </w:pPr>
      <w:rPr>
        <w:color w:val="000000"/>
      </w:rPr>
    </w:lvl>
  </w:abstractNum>
  <w:abstractNum w:abstractNumId="1">
    <w:nsid w:val="37DC22CC"/>
    <w:multiLevelType w:val="hybridMultilevel"/>
    <w:tmpl w:val="3CFCFA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A0EDC"/>
    <w:multiLevelType w:val="multilevel"/>
    <w:tmpl w:val="68F2A6B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D4E89"/>
    <w:multiLevelType w:val="multilevel"/>
    <w:tmpl w:val="5E0EC6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C"/>
    <w:rsid w:val="00272DF1"/>
    <w:rsid w:val="00385FAE"/>
    <w:rsid w:val="003C3964"/>
    <w:rsid w:val="0051397C"/>
    <w:rsid w:val="008A2E89"/>
    <w:rsid w:val="00927D19"/>
    <w:rsid w:val="00A833E0"/>
    <w:rsid w:val="00C2781E"/>
    <w:rsid w:val="00CA72EC"/>
    <w:rsid w:val="00D920C5"/>
    <w:rsid w:val="00DA1AC7"/>
    <w:rsid w:val="00E133CF"/>
    <w:rsid w:val="00E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а Знак"/>
    <w:link w:val="a3"/>
    <w:uiPriority w:val="1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а Знак"/>
    <w:link w:val="a3"/>
    <w:uiPriority w:val="1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4178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Давидченко Світлана Олександрівна</dc:creator>
  <cp:keywords/>
  <dc:description/>
  <cp:lastModifiedBy>Давидченко Світлана Олександрівна</cp:lastModifiedBy>
  <cp:revision>5</cp:revision>
  <dcterms:created xsi:type="dcterms:W3CDTF">2025-02-04T14:07:00Z</dcterms:created>
  <dcterms:modified xsi:type="dcterms:W3CDTF">2025-02-14T06:17:00Z</dcterms:modified>
</cp:coreProperties>
</file>