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77777777" w:rsidR="00623BC8" w:rsidRDefault="00623B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0000006" w14:textId="77777777" w:rsidR="00623BC8" w:rsidRDefault="009D7CC5">
      <w:pPr>
        <w:widowControl w:val="0"/>
        <w:spacing w:before="320" w:after="0" w:line="360" w:lineRule="auto"/>
        <w:ind w:left="1" w:right="14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 роботи</w:t>
      </w:r>
    </w:p>
    <w:p w14:paraId="00000007" w14:textId="77777777" w:rsidR="00623BC8" w:rsidRDefault="009D7CC5">
      <w:pPr>
        <w:widowControl w:val="0"/>
        <w:spacing w:after="0" w:line="360" w:lineRule="auto"/>
        <w:ind w:right="14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Комітету з питань логістики та міжнародних перевезень</w:t>
      </w:r>
    </w:p>
    <w:p w14:paraId="00000008" w14:textId="77777777" w:rsidR="00623BC8" w:rsidRDefault="009D7CC5">
      <w:pPr>
        <w:widowControl w:val="0"/>
        <w:spacing w:before="2" w:after="0" w:line="360" w:lineRule="auto"/>
        <w:ind w:right="14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Громадської ради при Державній митній службі України на 2025 рік</w:t>
      </w:r>
    </w:p>
    <w:p w14:paraId="00000009" w14:textId="77777777" w:rsidR="00623BC8" w:rsidRDefault="00623B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00000A" w14:textId="77777777" w:rsidR="00623BC8" w:rsidRDefault="00623BC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pPr w:leftFromText="180" w:rightFromText="180" w:vertAnchor="text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16"/>
        <w:gridCol w:w="1984"/>
        <w:gridCol w:w="1985"/>
        <w:gridCol w:w="5244"/>
      </w:tblGrid>
      <w:tr w:rsidR="00623BC8" w14:paraId="31074452" w14:textId="77777777">
        <w:trPr>
          <w:trHeight w:val="285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0B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  <w:vAlign w:val="center"/>
          </w:tcPr>
          <w:p w14:paraId="0000000C" w14:textId="77777777" w:rsidR="00623BC8" w:rsidRDefault="009D7CC5">
            <w:pPr>
              <w:widowControl w:val="0"/>
              <w:spacing w:before="135" w:after="0" w:line="240" w:lineRule="auto"/>
              <w:ind w:left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Зміст заходу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0000000D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000000E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Відповідальні виконавці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0F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Очікуваний результат</w:t>
            </w:r>
          </w:p>
        </w:tc>
      </w:tr>
      <w:tr w:rsidR="00623BC8" w14:paraId="0EC6A41C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10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</w:tcPr>
          <w:p w14:paraId="00000011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Розвиток електронних інформаційних систем Держмитслужби, удосконалення електронного документообігу та діджиталізація взаємовідносин бізнесу та митних органів Держмитслужби:</w:t>
            </w:r>
          </w:p>
          <w:p w14:paraId="00000012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3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 покращення ефективності електронного документообігу та усунення людського фак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тору:</w:t>
            </w:r>
          </w:p>
          <w:p w14:paraId="00000014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0"/>
                <w:id w:val="394792336"/>
              </w:sdtPr>
              <w:sdtEndPr/>
              <w:sdtContent>
                <w:commentRangeStart w:id="1"/>
              </w:sdtContent>
            </w:sdt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1.1.1.  </w:t>
            </w:r>
            <w:commentRangeEnd w:id="1"/>
            <w:r>
              <w:commentReference w:id="1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Внесення змін до Положення про митні декларації, затвердженого постановою Кабінету Міністрів України від 21 травня 2012 р. № 450 «Питання, пов’язані із застосуванням митних декларацій». </w:t>
            </w:r>
          </w:p>
          <w:p w14:paraId="00000015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1.1.2.  Внесення змін до Наказу Державної митної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лужби України від 17.11.2005 № 1118 «Про затвердження Правил митного контролю та митного оформлення транспортних засобів, що переміщуються громадянами через митний кордон України».</w:t>
            </w:r>
          </w:p>
          <w:p w14:paraId="00000016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1.1.3.  Внесення змін до постанови Кабінету Міністрів України від 24 жовтня 2018 р. №960</w:t>
            </w:r>
          </w:p>
          <w:p w14:paraId="00000017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1.1.4. Внесення змін до Порядку виконання митних формальностей при здійсненні транзитних переміщень, затвердженого наказом Міністерства фінансів України від наказом Мі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ністерства фінансів України від 09.10.2012 р. № 1066.</w:t>
            </w:r>
          </w:p>
          <w:p w14:paraId="00000018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9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A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B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C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D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1E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  Контроль впровадження та удосконалення модулю «Журнал морського пункту пропуску» АСМО «Інспектор», як частини інформаційно-телекомунікаційної системи ДМСУ.</w:t>
            </w:r>
          </w:p>
          <w:p w14:paraId="0000001F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0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1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2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3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4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5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6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 Внесення змін до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Наказ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у Міністерства фінансів України «Про затвердження Порядку виконання митних формальностей на морському та річковому транспорті» № 308 від 10.03.2015 р. на предмет реєстрації та фіксації часу оформлення доручення на навантаження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0000027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8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29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14:paraId="0000002A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0000002B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2C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Розроблення та впровадження нових форматів (інформаційно-цифрових) взаємовідносин між представниками бізнесу та митних органів ДМСУ дозволить значно підвищити прозорість взаємодії, рівень комунікації та взаємної довіри.</w:t>
            </w:r>
          </w:p>
          <w:p w14:paraId="0000002D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 Збі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льшить ефективність електронного документообігу Держмитслужби.</w:t>
            </w:r>
          </w:p>
          <w:p w14:paraId="0000002E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1.1.1.  Скасування дублюючого візування перелічених вище документів у паперовому вигляді, у випадку, якщо суб’єктами господарювання такі документи вже були подані для візування через електронні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інформаційні системи портів.</w:t>
            </w:r>
          </w:p>
          <w:p w14:paraId="0000002F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1.1.2.  Оптимізація митних процедур шляхом спрощення та покращення часових нормативів, зокрема запровадження митного оформлення транспортних засобів без видачі посвідчення про реєстрацію транспортного засобу із подальшою їх реєстрацією на підставі безпосер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едньо митної декларації.</w:t>
            </w:r>
          </w:p>
          <w:p w14:paraId="00000030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1.1.3.  Усунення обмежень для використання електронного документообігу під час попереднього документального контролю.</w:t>
            </w:r>
          </w:p>
          <w:p w14:paraId="00000031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1.1.4. Усунення корупціогенних факторів та оптимізація митних процедур шляхом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нормативного регулювання можливості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застосовувати електронний документообіг на всіх етапах митного оформлення при транзитних переміщеннях товарів.</w:t>
            </w:r>
          </w:p>
          <w:p w14:paraId="00000032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3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4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 Вдосконалення інформаційно- телекомунікаційної системи ДФСУ шляхом продовження курсу на впровадження електронного документообігу, в резул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ьтаті чого значно зменшуються корупційні ризики та монопольне навантаження на суб’єктів господарювання.  Додатково планується впровадити ефективний контроль за призначенням форм митного контролю (ініціатори призначення, об’єм та тривалість).</w:t>
            </w:r>
          </w:p>
          <w:p w14:paraId="00000035" w14:textId="77777777" w:rsidR="00623BC8" w:rsidRDefault="00623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6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1.3. Внесення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змін до даного Наказу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Міністерства фінансів України дозволить фіксувати час та зміст доручення доручення на навантаження, яке подається до митних органів суб’єктом господарювання, а також закріпити часовий норматив для розгляду митними органами такого док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ументу, що у свою чергу унеможливить необґрунтовані затримки з боку посадових осіб та мінімізує кількість скарг з боку суб’єктів господарювання.</w:t>
            </w:r>
          </w:p>
        </w:tc>
      </w:tr>
      <w:tr w:rsidR="00623BC8" w14:paraId="7592840F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37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</w:tcPr>
          <w:p w14:paraId="00000038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Впровадження ефективних механізмів реалізації статті 325 Митного кодексу України (відшкодування витрат за ре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зультатом призначенням та проведенням форм митного контролю за ініціативою контролюючих та правоохоронних органів).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14:paraId="00000039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0000003A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3B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Наявність можливості відшкодування витрат  за результатом призначенням та проведенням форм митного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ініціативою контролюючих та правоохоронних органів, у свою чергу дозволить суб’єктам господарювання значно зменшити свої непередбачені/необґрунтовані витрати та нарощувати вантажопотоки у морських портах України.</w:t>
            </w:r>
          </w:p>
        </w:tc>
      </w:tr>
      <w:tr w:rsidR="00623BC8" w14:paraId="10E13501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3C" w14:textId="77777777" w:rsidR="00623BC8" w:rsidRDefault="00623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D" w14:textId="77777777" w:rsidR="00623BC8" w:rsidRDefault="00623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E" w14:textId="77777777" w:rsidR="00623BC8" w:rsidRDefault="00623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00003F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</w:tcPr>
          <w:p w14:paraId="00000040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Аналіз ефективності дотримання положень ПКМУ 467 від 23.05.2012 р. з метою запобігання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втручанню правоохоронних та контролюючих органів у митне оформлення товарів.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14:paraId="00000041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00000042" w14:textId="77777777" w:rsidR="00623BC8" w:rsidRDefault="009D7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43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Дотримання положень ПКМУ 467 від 23.05.2012 р. доз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волить не допустити втручання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правоохоронних та контролюючих органів у митне оформлення товарів, у тому</w:t>
            </w:r>
          </w:p>
          <w:p w14:paraId="00000044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числі контролю за призначенням/проведенням форм митного контролю</w:t>
            </w:r>
          </w:p>
        </w:tc>
      </w:tr>
      <w:tr w:rsidR="00623BC8" w14:paraId="2ABB1D17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45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  <w:vAlign w:val="center"/>
          </w:tcPr>
          <w:p w14:paraId="00000046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Проведення аудиту митих формальностей на прикладі Одеської митниці Держмитслужби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спрощення митних процедур. 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00000047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0000048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49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Оптимізація митних процедур шляхом спрощення та покращення часових нормативів, у тому числі шляхом напрацювання спільних взаємовигідних для ДМСУ та бізнесу рішень та внесення змін у деякі НПА. </w:t>
            </w:r>
          </w:p>
        </w:tc>
      </w:tr>
      <w:tr w:rsidR="00623BC8" w14:paraId="6757B7E5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4A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</w:tcPr>
          <w:p w14:paraId="0000004B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Питання особистої відповідальності митного декларанта (аген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 з митного оформлення) відповідно до застарілого та неактуального але діючого законодавства (Митний кодекс України ст. 4, ст. 265, ст. 266, ст. 459, Кодекс України про Адміністративні правопорушення, Кримінальний кодекс України у разі рекриминалізації 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варної контрабанди).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0000004C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000004D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4E" w14:textId="77777777" w:rsidR="00623BC8" w:rsidRDefault="009D7C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 огляду на обсяг та характер стягнень, що накладаються на декларантів при порушенні останніми митних правил, необхідним вбачається обговорення, розроблення та прийняття змін до чинного законод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авства, зокрема до Митного кодексу України щодо зменшення розміру (об’єму) відповідальності  агентів (працівників) митного брокера (суб’єктів господарювання, що надають послуги митного брокера) та до Кодексу України про адміністративні правопорушення.</w:t>
            </w:r>
          </w:p>
        </w:tc>
      </w:tr>
      <w:tr w:rsidR="00623BC8" w14:paraId="2B36C367" w14:textId="77777777">
        <w:trPr>
          <w:trHeight w:val="330"/>
        </w:trPr>
        <w:tc>
          <w:tcPr>
            <w:tcW w:w="675" w:type="dxa"/>
            <w:tcMar>
              <w:top w:w="0" w:type="dxa"/>
              <w:bottom w:w="0" w:type="dxa"/>
            </w:tcMar>
            <w:vAlign w:val="center"/>
          </w:tcPr>
          <w:p w14:paraId="0000004F" w14:textId="77777777" w:rsidR="00623BC8" w:rsidRDefault="009D7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  <w:tcMar>
              <w:top w:w="0" w:type="dxa"/>
              <w:bottom w:w="0" w:type="dxa"/>
            </w:tcMar>
          </w:tcPr>
          <w:p w14:paraId="00000050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Розвиток мультимодальних перевезень.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00000051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0000052" w14:textId="77777777" w:rsidR="00623BC8" w:rsidRDefault="009D7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члени ради, Берестенко В.В.</w:t>
            </w:r>
          </w:p>
        </w:tc>
        <w:tc>
          <w:tcPr>
            <w:tcW w:w="5244" w:type="dxa"/>
            <w:tcMar>
              <w:top w:w="0" w:type="dxa"/>
              <w:bottom w:w="0" w:type="dxa"/>
            </w:tcMar>
            <w:vAlign w:val="center"/>
          </w:tcPr>
          <w:p w14:paraId="00000053" w14:textId="77777777" w:rsidR="00623BC8" w:rsidRDefault="009D7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Станом на сьогодні прийнятий ЗУ «Про мультимодальні перевезення». Разом із тим цей закон не працює внаслідок відсутності ухвалення Кабінетом Міністрів України та інших ЦОВВ деяких положень, зокрема:</w:t>
            </w:r>
          </w:p>
          <w:p w14:paraId="00000054" w14:textId="77777777" w:rsidR="00623BC8" w:rsidRDefault="009D7C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єдиного перевізного документа (затверджується Кабінетом Міністрів України відповідно до ч. 1 ст. 11 Закону);</w:t>
            </w:r>
          </w:p>
          <w:p w14:paraId="00000055" w14:textId="77777777" w:rsidR="00623BC8" w:rsidRDefault="009D7C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технічні вимоги до організації та функціонування мультимодальних терміналів (визначаються ЦОВВ, відповідно до ч. 7 ст. 8 Закону).</w:t>
            </w:r>
          </w:p>
          <w:p w14:paraId="00000056" w14:textId="77777777" w:rsidR="00623BC8" w:rsidRDefault="009D7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Одним з варіанті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вирішення ситуації, що склалася є використання мультимодального </w:t>
            </w:r>
          </w:p>
          <w:p w14:paraId="00000057" w14:textId="77777777" w:rsidR="00623BC8" w:rsidRDefault="009D7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транспортного коносамента ФІАТА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  <w:t>FBL, Multimodal Transport Bill of Lading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).</w:t>
            </w:r>
          </w:p>
          <w:p w14:paraId="00000058" w14:textId="77777777" w:rsidR="00623BC8" w:rsidRDefault="009D7C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lastRenderedPageBreak/>
              <w:t>Документ FBL відповідає всім передбаченим Законом вимогам (ч. 1 ст. 11 Закону), у 1983 році був офіційно визнаний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Міжнародною торговельною палатою (далі - МТП), як документ у практиці акредитива.</w:t>
            </w:r>
          </w:p>
          <w:p w14:paraId="00000059" w14:textId="77777777" w:rsidR="00623BC8" w:rsidRDefault="009D7C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На сьогодні FBL ФІАТА є одним з найбільш часто використовуваних комбінованих / мультимодальних транспортних документів у світі.</w:t>
            </w:r>
          </w:p>
        </w:tc>
      </w:tr>
    </w:tbl>
    <w:p w14:paraId="0000005A" w14:textId="45755D84" w:rsidR="00623BC8" w:rsidRDefault="009D7C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br/>
      </w:r>
    </w:p>
    <w:p w14:paraId="4291592F" w14:textId="224CEEA0" w:rsidR="00277729" w:rsidRDefault="002777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C6B3462" w14:textId="11F0A0F8" w:rsidR="00277729" w:rsidRDefault="002777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Голова Комітету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Віктор БЕРЕСТЕНКО</w:t>
      </w:r>
    </w:p>
    <w:sectPr w:rsidR="00277729">
      <w:footerReference w:type="default" r:id="rId10"/>
      <w:pgSz w:w="16838" w:h="11906" w:orient="landscape"/>
      <w:pgMar w:top="709" w:right="850" w:bottom="850" w:left="850" w:header="708" w:footer="2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Комітет з логістики та міжнародних перевезень" w:date="2025-01-17T14:28:00Z" w:initials="">
    <w:p w14:paraId="0000005D" w14:textId="77777777" w:rsidR="00623BC8" w:rsidRDefault="009D7C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Чи залишаємо питання внесення змін у дані нпа у плані?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5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11210" w14:textId="77777777" w:rsidR="009D7CC5" w:rsidRDefault="009D7CC5">
      <w:pPr>
        <w:spacing w:after="0" w:line="240" w:lineRule="auto"/>
      </w:pPr>
      <w:r>
        <w:separator/>
      </w:r>
    </w:p>
  </w:endnote>
  <w:endnote w:type="continuationSeparator" w:id="0">
    <w:p w14:paraId="700E7BCD" w14:textId="77777777" w:rsidR="009D7CC5" w:rsidRDefault="009D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B" w14:textId="36B616DE" w:rsidR="00623BC8" w:rsidRDefault="009D7C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 w:rsidR="00277729"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277729">
      <w:rPr>
        <w:rFonts w:ascii="Times New Roman" w:eastAsia="Times New Roman" w:hAnsi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0000005C" w14:textId="77777777" w:rsidR="00623BC8" w:rsidRDefault="00623B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7F29C" w14:textId="77777777" w:rsidR="009D7CC5" w:rsidRDefault="009D7CC5">
      <w:pPr>
        <w:spacing w:after="0" w:line="240" w:lineRule="auto"/>
      </w:pPr>
      <w:r>
        <w:separator/>
      </w:r>
    </w:p>
  </w:footnote>
  <w:footnote w:type="continuationSeparator" w:id="0">
    <w:p w14:paraId="2975F433" w14:textId="77777777" w:rsidR="009D7CC5" w:rsidRDefault="009D7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F2EB6"/>
    <w:multiLevelType w:val="multilevel"/>
    <w:tmpl w:val="5F2EE2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C8"/>
    <w:rsid w:val="00277729"/>
    <w:rsid w:val="00623BC8"/>
    <w:rsid w:val="009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C7F1"/>
  <w15:docId w15:val="{CEB5D2BB-75E1-4DBF-A9D3-06B6FE82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48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0D7048"/>
    <w:rPr>
      <w:lang w:val="ru-RU"/>
    </w:rPr>
  </w:style>
  <w:style w:type="paragraph" w:styleId="a4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873AAF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5">
    <w:name w:val="Подзаголовок Знак"/>
    <w:link w:val="a4"/>
    <w:rsid w:val="00F57AA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il">
    <w:name w:val="il"/>
    <w:basedOn w:val="a0"/>
    <w:rsid w:val="00C07B0C"/>
  </w:style>
  <w:style w:type="paragraph" w:styleId="a8">
    <w:name w:val="header"/>
    <w:basedOn w:val="a"/>
    <w:link w:val="a9"/>
    <w:uiPriority w:val="99"/>
    <w:unhideWhenUsed/>
    <w:rsid w:val="00D2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63D0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D2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63D0"/>
    <w:rPr>
      <w:rFonts w:cs="Times New Roman"/>
    </w:rPr>
  </w:style>
  <w:style w:type="character" w:styleId="ac">
    <w:name w:val="Strong"/>
    <w:basedOn w:val="a0"/>
    <w:uiPriority w:val="22"/>
    <w:qFormat/>
    <w:rsid w:val="003F1AFA"/>
    <w:rPr>
      <w:b/>
      <w:bCs/>
    </w:rPr>
  </w:style>
  <w:style w:type="paragraph" w:styleId="ad">
    <w:name w:val="Normal (Web)"/>
    <w:basedOn w:val="a"/>
    <w:uiPriority w:val="99"/>
    <w:unhideWhenUsed/>
    <w:qFormat/>
    <w:rsid w:val="008F7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e">
    <w:name w:val="Hyperlink"/>
    <w:basedOn w:val="a0"/>
    <w:uiPriority w:val="99"/>
    <w:unhideWhenUsed/>
    <w:rsid w:val="00483B06"/>
    <w:rPr>
      <w:color w:val="0563C1" w:themeColor="hyperlink"/>
      <w:u w:val="single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annotation text"/>
    <w:basedOn w:val="a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rFonts w:cs="Times New Roman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277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7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GkZyORx/8duVuVfhgA3umjrvg==">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 Taslitskyi</dc:creator>
  <cp:lastModifiedBy>user</cp:lastModifiedBy>
  <cp:revision>2</cp:revision>
  <dcterms:created xsi:type="dcterms:W3CDTF">2025-01-17T14:03:00Z</dcterms:created>
  <dcterms:modified xsi:type="dcterms:W3CDTF">2025-02-18T11:46:00Z</dcterms:modified>
</cp:coreProperties>
</file>