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Default="0003718E" w:rsidP="0003718E">
      <w:pPr>
        <w:jc w:val="center"/>
        <w:rPr>
          <w:rFonts w:eastAsia="Times New Roman" w:cs="Times New Roman"/>
          <w:color w:val="000000"/>
          <w:sz w:val="24"/>
          <w:szCs w:val="24"/>
          <w:lang w:eastAsia="uk-UA"/>
        </w:rPr>
      </w:pPr>
      <w:r w:rsidRPr="000070D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w:t>
      </w:r>
      <w:r>
        <w:rPr>
          <w:rFonts w:eastAsia="Times New Roman" w:cs="Times New Roman"/>
          <w:color w:val="000000"/>
          <w:sz w:val="24"/>
          <w:szCs w:val="24"/>
          <w:lang w:eastAsia="uk-UA"/>
        </w:rPr>
        <w:t xml:space="preserve"> </w:t>
      </w:r>
      <w:r w:rsidRPr="000070DA">
        <w:rPr>
          <w:rFonts w:eastAsia="Times New Roman" w:cs="Times New Roman"/>
          <w:color w:val="000000"/>
          <w:sz w:val="24"/>
          <w:szCs w:val="24"/>
          <w:lang w:eastAsia="uk-UA"/>
        </w:rPr>
        <w:t>ПРЕДМЕТА ЗАКУПІВЛІ</w:t>
      </w:r>
    </w:p>
    <w:p w:rsidR="00564C9C" w:rsidRPr="000070DA" w:rsidRDefault="00564C9C" w:rsidP="0003718E">
      <w:pPr>
        <w:jc w:val="center"/>
        <w:rPr>
          <w:rFonts w:eastAsia="Times New Roman" w:cs="Times New Roman"/>
          <w:sz w:val="24"/>
          <w:szCs w:val="24"/>
          <w:lang w:eastAsia="uk-UA"/>
        </w:rPr>
      </w:pPr>
      <w:r w:rsidRPr="00564C9C">
        <w:rPr>
          <w:rFonts w:eastAsia="Times New Roman" w:cs="Times New Roman"/>
          <w:sz w:val="24"/>
          <w:szCs w:val="24"/>
          <w:lang w:eastAsia="uk-UA"/>
        </w:rPr>
        <w:t>(оприлюднюється на виконання постанови КМУ № 710 від 11.10.2016 «Про ефективне використання державних коштів» (зі змінами))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b/>
          <w:color w:val="000000"/>
          <w:sz w:val="24"/>
          <w:szCs w:val="24"/>
          <w:lang w:eastAsia="uk-UA"/>
        </w:rPr>
        <w:t>ОБҐРУНТУВАННЯ ПІДСТАВИ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color w:val="000000"/>
          <w:sz w:val="24"/>
          <w:szCs w:val="24"/>
          <w:lang w:eastAsia="uk-UA"/>
        </w:rPr>
        <w:t xml:space="preserve">для здійснення закупівлі </w:t>
      </w:r>
      <w:r w:rsidRPr="00564C9C">
        <w:rPr>
          <w:rFonts w:eastAsia="Times New Roman" w:cs="Times New Roman"/>
          <w:b/>
          <w:color w:val="000000"/>
          <w:sz w:val="24"/>
          <w:szCs w:val="24"/>
          <w:lang w:eastAsia="uk-UA"/>
        </w:rPr>
        <w:t>згідно з підпунктом 5 пункту 13 Особливостей</w:t>
      </w:r>
      <w:r w:rsidRPr="00564C9C">
        <w:rPr>
          <w:rFonts w:eastAsia="Times New Roman" w:cs="Times New Roman"/>
          <w:color w:val="000000"/>
          <w:sz w:val="24"/>
          <w:szCs w:val="24"/>
          <w:lang w:eastAsia="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 (далі — Особливості)</w:t>
      </w:r>
    </w:p>
    <w:p w:rsidR="00564C9C" w:rsidRPr="00564C9C" w:rsidRDefault="00564C9C" w:rsidP="00564C9C">
      <w:pPr>
        <w:rPr>
          <w:rFonts w:eastAsia="Times New Roman" w:cs="Times New Roman"/>
          <w:b/>
          <w:sz w:val="24"/>
          <w:szCs w:val="24"/>
          <w:lang w:eastAsia="uk-UA"/>
        </w:rPr>
      </w:pPr>
      <w:r w:rsidRPr="00564C9C">
        <w:rPr>
          <w:rFonts w:eastAsia="Times New Roman" w:cs="Times New Roman"/>
          <w:b/>
          <w:sz w:val="24"/>
          <w:szCs w:val="24"/>
          <w:lang w:eastAsia="uk-UA"/>
        </w:rPr>
        <w:t xml:space="preserve"> </w:t>
      </w: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sz w:val="24"/>
          <w:szCs w:val="24"/>
          <w:lang w:eastAsia="uk-UA"/>
        </w:rPr>
        <w:t>Найменування, місцезнаходження та ідент</w:t>
      </w:r>
      <w:bookmarkStart w:id="0" w:name="_GoBack"/>
      <w:bookmarkEnd w:id="0"/>
      <w:r w:rsidRPr="00564C9C">
        <w:rPr>
          <w:rFonts w:eastAsia="Times New Roman" w:cs="Times New Roman"/>
          <w:b/>
          <w:sz w:val="24"/>
          <w:szCs w:val="24"/>
          <w:lang w:eastAsia="uk-UA"/>
        </w:rPr>
        <w:t xml:space="preserve">ифікаційний код замовника в Єдиному державному реєстрі юридичних осіб, фізичних осіб — підприємців та громадських формувань, його категорія: </w:t>
      </w:r>
      <w:r w:rsidRPr="00564C9C">
        <w:rPr>
          <w:rFonts w:eastAsia="Times New Roman" w:cs="Times New Roman"/>
          <w:sz w:val="24"/>
          <w:szCs w:val="24"/>
          <w:lang w:eastAsia="uk-UA"/>
        </w:rPr>
        <w:t>Державна митна служба України; вул. Дегтярівська, 11-Г, м. Київ, 04119; код за ЄДРПОУ – 43115923; категорія замовника – орган державної  влади.</w:t>
      </w:r>
    </w:p>
    <w:p w:rsidR="00564C9C" w:rsidRPr="00564C9C" w:rsidRDefault="00564C9C" w:rsidP="00564C9C">
      <w:pPr>
        <w:jc w:val="both"/>
        <w:rPr>
          <w:rFonts w:eastAsia="Times New Roman" w:cs="Times New Roman"/>
          <w:b/>
          <w:sz w:val="24"/>
          <w:szCs w:val="24"/>
          <w:lang w:eastAsia="uk-UA"/>
        </w:rPr>
      </w:pP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564C9C">
        <w:rPr>
          <w:rFonts w:eastAsia="Times New Roman" w:cs="Times New Roman"/>
          <w:sz w:val="24"/>
          <w:szCs w:val="24"/>
          <w:lang w:eastAsia="uk-UA"/>
        </w:rPr>
        <w:t xml:space="preserve"> </w:t>
      </w:r>
    </w:p>
    <w:p w:rsidR="00564C9C" w:rsidRPr="00564C9C" w:rsidRDefault="009B56FD" w:rsidP="00564C9C">
      <w:pPr>
        <w:widowControl w:val="0"/>
        <w:tabs>
          <w:tab w:val="left" w:pos="426"/>
        </w:tabs>
        <w:suppressAutoHyphens/>
        <w:autoSpaceDN w:val="0"/>
        <w:ind w:firstLine="709"/>
        <w:jc w:val="both"/>
        <w:textAlignment w:val="baseline"/>
        <w:rPr>
          <w:rFonts w:eastAsia="Calibri" w:cs="Times New Roman"/>
          <w:sz w:val="24"/>
          <w:szCs w:val="24"/>
          <w:lang w:eastAsia="ru-RU"/>
        </w:rPr>
      </w:pPr>
      <w:r w:rsidRPr="009B56FD">
        <w:rPr>
          <w:rFonts w:eastAsia="Calibri" w:cs="Times New Roman"/>
          <w:sz w:val="24"/>
          <w:szCs w:val="24"/>
          <w:lang w:eastAsia="uk-UA"/>
        </w:rPr>
        <w:t xml:space="preserve">Послуги, пов’язані із супроводженням та технічною підтримкою програмного забезпечення АСКОД у складі системи електронного документообігу Державної митної служби України за кодом ДК 021:2015 – 72260000-5 Послуги, пов’язані з програмним забезпеченням </w:t>
      </w:r>
      <w:r w:rsidR="00564C9C" w:rsidRPr="00564C9C">
        <w:rPr>
          <w:rFonts w:eastAsia="Calibri" w:cs="Times New Roman"/>
          <w:sz w:val="24"/>
          <w:szCs w:val="24"/>
          <w:lang w:eastAsia="ru-RU"/>
        </w:rPr>
        <w:t xml:space="preserve">(далі- </w:t>
      </w:r>
      <w:r>
        <w:rPr>
          <w:rFonts w:eastAsia="Calibri" w:cs="Times New Roman"/>
          <w:sz w:val="24"/>
          <w:szCs w:val="24"/>
          <w:lang w:eastAsia="ru-RU"/>
        </w:rPr>
        <w:t>З</w:t>
      </w:r>
      <w:r w:rsidR="00564C9C" w:rsidRPr="00564C9C">
        <w:rPr>
          <w:rFonts w:eastAsia="Calibri" w:cs="Times New Roman"/>
          <w:sz w:val="24"/>
          <w:szCs w:val="24"/>
          <w:lang w:eastAsia="ru-RU"/>
        </w:rPr>
        <w:t>акупівля).</w:t>
      </w:r>
    </w:p>
    <w:p w:rsidR="00564C9C" w:rsidRPr="00564C9C" w:rsidRDefault="00564C9C" w:rsidP="00564C9C">
      <w:pPr>
        <w:jc w:val="both"/>
        <w:rPr>
          <w:rFonts w:eastAsia="Times New Roman" w:cs="Times New Roman"/>
          <w:b/>
          <w:sz w:val="24"/>
          <w:szCs w:val="24"/>
          <w:lang w:eastAsia="uk-UA"/>
        </w:rPr>
      </w:pPr>
    </w:p>
    <w:p w:rsidR="00564C9C" w:rsidRPr="00564C9C" w:rsidRDefault="00564C9C" w:rsidP="00564C9C">
      <w:pPr>
        <w:jc w:val="both"/>
        <w:rPr>
          <w:rFonts w:eastAsia="Times New Roman" w:cs="Times New Roman"/>
          <w:sz w:val="24"/>
          <w:szCs w:val="24"/>
          <w:lang w:val="en-US" w:eastAsia="uk-UA"/>
        </w:rPr>
      </w:pPr>
      <w:r w:rsidRPr="00564C9C">
        <w:rPr>
          <w:rFonts w:eastAsia="Times New Roman" w:cs="Times New Roman"/>
          <w:b/>
          <w:sz w:val="24"/>
          <w:szCs w:val="24"/>
          <w:lang w:eastAsia="uk-UA"/>
        </w:rPr>
        <w:t>Вид та ідентифікатор процедур закупівель (у разі наявності):</w:t>
      </w:r>
      <w:r w:rsidRPr="00564C9C">
        <w:rPr>
          <w:rFonts w:eastAsia="Times New Roman" w:cs="Times New Roman"/>
          <w:sz w:val="24"/>
          <w:szCs w:val="24"/>
          <w:lang w:eastAsia="uk-UA"/>
        </w:rPr>
        <w:t xml:space="preserve"> </w:t>
      </w:r>
      <w:r w:rsidRPr="00564C9C">
        <w:rPr>
          <w:rFonts w:eastAsia="Times New Roman" w:cs="Times New Roman"/>
          <w:sz w:val="24"/>
          <w:szCs w:val="24"/>
          <w:lang w:val="en-US" w:eastAsia="uk-UA"/>
        </w:rPr>
        <w:t>UA-202</w:t>
      </w:r>
      <w:r w:rsidR="009B56FD">
        <w:rPr>
          <w:rFonts w:eastAsia="Times New Roman" w:cs="Times New Roman"/>
          <w:sz w:val="24"/>
          <w:szCs w:val="24"/>
          <w:lang w:eastAsia="uk-UA"/>
        </w:rPr>
        <w:t>5</w:t>
      </w:r>
      <w:r w:rsidRPr="00564C9C">
        <w:rPr>
          <w:rFonts w:eastAsia="Times New Roman" w:cs="Times New Roman"/>
          <w:sz w:val="24"/>
          <w:szCs w:val="24"/>
          <w:lang w:val="en-US" w:eastAsia="uk-UA"/>
        </w:rPr>
        <w:t>-</w:t>
      </w:r>
      <w:r w:rsidR="009B56FD">
        <w:rPr>
          <w:rFonts w:eastAsia="Times New Roman" w:cs="Times New Roman"/>
          <w:sz w:val="24"/>
          <w:szCs w:val="24"/>
          <w:lang w:eastAsia="uk-UA"/>
        </w:rPr>
        <w:t>02</w:t>
      </w:r>
      <w:r w:rsidRPr="00564C9C">
        <w:rPr>
          <w:rFonts w:eastAsia="Times New Roman" w:cs="Times New Roman"/>
          <w:sz w:val="24"/>
          <w:szCs w:val="24"/>
          <w:lang w:val="en-US" w:eastAsia="uk-UA"/>
        </w:rPr>
        <w:t>-</w:t>
      </w:r>
      <w:r w:rsidR="009B56FD">
        <w:rPr>
          <w:rFonts w:eastAsia="Times New Roman" w:cs="Times New Roman"/>
          <w:sz w:val="24"/>
          <w:szCs w:val="24"/>
          <w:lang w:eastAsia="uk-UA"/>
        </w:rPr>
        <w:t>1</w:t>
      </w:r>
      <w:r w:rsidR="009F366E">
        <w:rPr>
          <w:rFonts w:eastAsia="Times New Roman" w:cs="Times New Roman"/>
          <w:sz w:val="24"/>
          <w:szCs w:val="24"/>
          <w:lang w:eastAsia="uk-UA"/>
        </w:rPr>
        <w:t>9</w:t>
      </w:r>
      <w:r w:rsidRPr="00564C9C">
        <w:rPr>
          <w:rFonts w:eastAsia="Times New Roman" w:cs="Times New Roman"/>
          <w:sz w:val="24"/>
          <w:szCs w:val="24"/>
          <w:lang w:val="en-US" w:eastAsia="uk-UA"/>
        </w:rPr>
        <w:t>-</w:t>
      </w:r>
      <w:r w:rsidR="009B56FD">
        <w:rPr>
          <w:rFonts w:eastAsia="Times New Roman" w:cs="Times New Roman"/>
          <w:sz w:val="24"/>
          <w:szCs w:val="24"/>
          <w:lang w:eastAsia="uk-UA"/>
        </w:rPr>
        <w:t>002771</w:t>
      </w:r>
      <w:r w:rsidRPr="00564C9C">
        <w:rPr>
          <w:rFonts w:eastAsia="Times New Roman" w:cs="Times New Roman"/>
          <w:sz w:val="24"/>
          <w:szCs w:val="24"/>
          <w:lang w:val="en-US" w:eastAsia="uk-UA"/>
        </w:rPr>
        <w:t>-a</w:t>
      </w:r>
    </w:p>
    <w:p w:rsidR="00564C9C" w:rsidRPr="00564C9C" w:rsidRDefault="00564C9C" w:rsidP="00564C9C">
      <w:pPr>
        <w:jc w:val="both"/>
        <w:rPr>
          <w:rFonts w:eastAsia="Times New Roman" w:cs="Times New Roman"/>
          <w:sz w:val="24"/>
          <w:szCs w:val="24"/>
          <w:lang w:eastAsia="uk-UA"/>
        </w:rPr>
      </w:pPr>
    </w:p>
    <w:p w:rsidR="00564C9C" w:rsidRPr="00564C9C" w:rsidRDefault="00564C9C" w:rsidP="00564C9C">
      <w:pPr>
        <w:widowControl w:val="0"/>
        <w:tabs>
          <w:tab w:val="left" w:pos="426"/>
        </w:tabs>
        <w:suppressAutoHyphens/>
        <w:autoSpaceDN w:val="0"/>
        <w:ind w:firstLine="709"/>
        <w:jc w:val="both"/>
        <w:textAlignment w:val="baseline"/>
        <w:rPr>
          <w:rFonts w:eastAsia="Times New Roman" w:cs="Times New Roman"/>
          <w:sz w:val="24"/>
          <w:szCs w:val="24"/>
          <w:lang w:eastAsia="uk-UA"/>
        </w:rPr>
      </w:pPr>
      <w:r w:rsidRPr="00564C9C">
        <w:rPr>
          <w:rFonts w:eastAsia="Calibri" w:cs="Calibri"/>
          <w:szCs w:val="28"/>
          <w:lang w:eastAsia="ru-RU"/>
        </w:rPr>
        <w:t xml:space="preserve"> </w:t>
      </w:r>
      <w:r w:rsidRPr="00564C9C">
        <w:rPr>
          <w:rFonts w:eastAsia="Times New Roman" w:cs="Times New Roman"/>
          <w:b/>
          <w:sz w:val="24"/>
          <w:szCs w:val="24"/>
          <w:lang w:eastAsia="uk-UA"/>
        </w:rPr>
        <w:t>Розмір бюджетного призначення:</w:t>
      </w:r>
      <w:r w:rsidRPr="00564C9C">
        <w:rPr>
          <w:rFonts w:eastAsia="Times New Roman" w:cs="Times New Roman"/>
          <w:sz w:val="24"/>
          <w:szCs w:val="24"/>
          <w:lang w:eastAsia="uk-UA"/>
        </w:rPr>
        <w:t xml:space="preserve"> </w:t>
      </w:r>
    </w:p>
    <w:p w:rsidR="00564C9C" w:rsidRPr="00564C9C" w:rsidRDefault="00564C9C" w:rsidP="00564C9C">
      <w:pPr>
        <w:ind w:firstLine="709"/>
        <w:jc w:val="both"/>
        <w:rPr>
          <w:rFonts w:eastAsia="Times New Roman" w:cs="Times New Roman"/>
          <w:sz w:val="24"/>
          <w:szCs w:val="24"/>
          <w:lang w:eastAsia="uk-UA"/>
        </w:rPr>
      </w:pPr>
      <w:r w:rsidRPr="00564C9C">
        <w:rPr>
          <w:rFonts w:eastAsia="Calibri" w:cs="Times New Roman"/>
          <w:sz w:val="24"/>
          <w:szCs w:val="24"/>
          <w:lang w:eastAsia="uk-UA"/>
        </w:rPr>
        <w:t xml:space="preserve"> </w:t>
      </w:r>
      <w:r w:rsidR="009B56FD" w:rsidRPr="009B56FD">
        <w:rPr>
          <w:rFonts w:eastAsia="Calibri" w:cs="Times New Roman"/>
          <w:sz w:val="24"/>
          <w:szCs w:val="24"/>
          <w:lang w:eastAsia="uk-UA"/>
        </w:rPr>
        <w:t>Послуги, пов’язані із супроводженням та технічною підтримкою програмного забезпечення АСКОД у складі системи електронного документообігу Державної митної служби України</w:t>
      </w:r>
      <w:r w:rsidRPr="00564C9C">
        <w:rPr>
          <w:rFonts w:eastAsia="Calibri" w:cs="Times New Roman"/>
          <w:sz w:val="24"/>
          <w:szCs w:val="24"/>
          <w:lang w:eastAsia="uk-UA"/>
        </w:rPr>
        <w:t xml:space="preserve"> складає </w:t>
      </w:r>
      <w:r w:rsidR="009B56FD">
        <w:rPr>
          <w:rFonts w:eastAsia="Calibri" w:cs="Times New Roman"/>
          <w:sz w:val="24"/>
          <w:szCs w:val="24"/>
          <w:lang w:eastAsia="uk-UA"/>
        </w:rPr>
        <w:t>1 368 000</w:t>
      </w:r>
      <w:r w:rsidRPr="00564C9C">
        <w:rPr>
          <w:rFonts w:eastAsia="Calibri" w:cs="Times New Roman"/>
          <w:sz w:val="24"/>
          <w:szCs w:val="24"/>
          <w:lang w:eastAsia="uk-UA"/>
        </w:rPr>
        <w:t xml:space="preserve">,00 гривень </w:t>
      </w:r>
      <w:r w:rsidRPr="00564C9C">
        <w:rPr>
          <w:rFonts w:eastAsia="Times New Roman" w:cs="Times New Roman"/>
          <w:sz w:val="24"/>
          <w:szCs w:val="24"/>
          <w:lang w:eastAsia="uk-UA"/>
        </w:rPr>
        <w:t>згідно з кошторисом розрахунків Держмитслужби на 202</w:t>
      </w:r>
      <w:r w:rsidR="009B56FD">
        <w:rPr>
          <w:rFonts w:eastAsia="Times New Roman" w:cs="Times New Roman"/>
          <w:sz w:val="24"/>
          <w:szCs w:val="24"/>
          <w:lang w:eastAsia="uk-UA"/>
        </w:rPr>
        <w:t>5</w:t>
      </w:r>
      <w:r w:rsidRPr="00564C9C">
        <w:rPr>
          <w:rFonts w:eastAsia="Times New Roman" w:cs="Times New Roman"/>
          <w:sz w:val="24"/>
          <w:szCs w:val="24"/>
          <w:lang w:eastAsia="uk-UA"/>
        </w:rPr>
        <w:t>рік.</w:t>
      </w:r>
    </w:p>
    <w:p w:rsidR="00564C9C" w:rsidRPr="00564C9C" w:rsidRDefault="00564C9C" w:rsidP="00564C9C">
      <w:pPr>
        <w:spacing w:before="280" w:after="280"/>
        <w:jc w:val="both"/>
        <w:rPr>
          <w:rFonts w:eastAsia="Times New Roman" w:cs="Times New Roman"/>
          <w:i/>
          <w:sz w:val="24"/>
          <w:szCs w:val="24"/>
          <w:u w:val="single"/>
          <w:lang w:eastAsia="uk-UA"/>
        </w:rPr>
      </w:pPr>
      <w:r w:rsidRPr="00564C9C">
        <w:rPr>
          <w:rFonts w:eastAsia="Times New Roman" w:cs="Times New Roman"/>
          <w:b/>
          <w:sz w:val="24"/>
          <w:szCs w:val="24"/>
          <w:lang w:eastAsia="uk-UA"/>
        </w:rPr>
        <w:t xml:space="preserve">Підстави для здійснення закупівлі: </w:t>
      </w:r>
      <w:r w:rsidRPr="00564C9C">
        <w:rPr>
          <w:rFonts w:eastAsia="Times New Roman" w:cs="Times New Roman"/>
          <w:i/>
          <w:sz w:val="24"/>
          <w:szCs w:val="24"/>
          <w:lang w:eastAsia="uk-UA"/>
        </w:rPr>
        <w:t>відповідно до абзацу п’ят</w:t>
      </w:r>
      <w:r w:rsidR="009B56FD">
        <w:rPr>
          <w:rFonts w:eastAsia="Times New Roman" w:cs="Times New Roman"/>
          <w:i/>
          <w:sz w:val="24"/>
          <w:szCs w:val="24"/>
          <w:lang w:eastAsia="uk-UA"/>
        </w:rPr>
        <w:t>ого</w:t>
      </w:r>
      <w:r w:rsidRPr="00564C9C">
        <w:rPr>
          <w:rFonts w:eastAsia="Times New Roman" w:cs="Times New Roman"/>
          <w:i/>
          <w:sz w:val="24"/>
          <w:szCs w:val="24"/>
          <w:lang w:eastAsia="uk-UA"/>
        </w:rPr>
        <w:t xml:space="preserve"> підпункту 5 пункту 13 Особливостей</w:t>
      </w:r>
      <w:r w:rsidRPr="00564C9C">
        <w:rPr>
          <w:rFonts w:eastAsia="Times New Roman" w:cs="Times New Roman"/>
          <w:b/>
          <w:color w:val="323232"/>
          <w:sz w:val="24"/>
          <w:szCs w:val="24"/>
          <w:lang w:eastAsia="uk-UA"/>
        </w:rPr>
        <w:t xml:space="preserve"> </w:t>
      </w:r>
      <w:r w:rsidRPr="00564C9C">
        <w:rPr>
          <w:rFonts w:eastAsia="Times New Roman" w:cs="Times New Roman"/>
          <w:i/>
          <w:sz w:val="24"/>
          <w:szCs w:val="24"/>
          <w:lang w:eastAsia="uk-UA"/>
        </w:rPr>
        <w:t xml:space="preserve">роботи, товари чи послуги можуть бути виконані, поставлені чи надані виключно певним суб’єктом господарювання  у випадку </w:t>
      </w:r>
      <w:r w:rsidRPr="00564C9C">
        <w:rPr>
          <w:rFonts w:eastAsia="Times New Roman" w:cs="Times New Roman"/>
          <w:i/>
          <w:sz w:val="24"/>
          <w:szCs w:val="24"/>
          <w:u w:val="single"/>
          <w:lang w:eastAsia="uk-UA"/>
        </w:rPr>
        <w:t>необхідності захисту прав інтелектуальної власності.</w:t>
      </w:r>
    </w:p>
    <w:p w:rsidR="00564C9C" w:rsidRPr="00564C9C" w:rsidRDefault="00564C9C" w:rsidP="00564C9C">
      <w:pPr>
        <w:tabs>
          <w:tab w:val="left" w:pos="284"/>
        </w:tabs>
        <w:spacing w:before="240" w:line="276" w:lineRule="auto"/>
        <w:jc w:val="both"/>
        <w:rPr>
          <w:rFonts w:eastAsia="Times New Roman" w:cs="Times New Roman"/>
          <w:i/>
          <w:color w:val="000000"/>
          <w:sz w:val="24"/>
          <w:szCs w:val="24"/>
          <w:lang w:eastAsia="uk-UA"/>
        </w:rPr>
      </w:pPr>
      <w:r w:rsidRPr="00564C9C">
        <w:rPr>
          <w:rFonts w:eastAsia="Times New Roman" w:cs="Times New Roman"/>
          <w:b/>
          <w:sz w:val="24"/>
          <w:szCs w:val="24"/>
          <w:lang w:eastAsia="uk-UA"/>
        </w:rPr>
        <w:t>Обґрунтування підстави для здійснення закупівлі</w:t>
      </w:r>
      <w:r w:rsidRPr="00564C9C">
        <w:rPr>
          <w:rFonts w:eastAsia="Times New Roman" w:cs="Times New Roman"/>
          <w:b/>
          <w:color w:val="000000"/>
          <w:sz w:val="24"/>
          <w:szCs w:val="24"/>
          <w:lang w:eastAsia="uk-UA"/>
        </w:rPr>
        <w:t>:</w:t>
      </w:r>
      <w:r w:rsidRPr="00564C9C">
        <w:rPr>
          <w:rFonts w:eastAsia="Times New Roman" w:cs="Times New Roman"/>
          <w:i/>
          <w:color w:val="000000"/>
          <w:sz w:val="24"/>
          <w:szCs w:val="24"/>
          <w:lang w:eastAsia="uk-UA"/>
        </w:rPr>
        <w:t xml:space="preserve"> </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обов’язковим зазначенням строку дії цих обмежень.</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Указом Президента України від 24.02.2022 № 64 (зі змінами) термін дії воєнного стану встановлено до 09 травня 2025 року.</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Статтею 4 Указу № 64 Кабінету Міністрів України постановлено невідкладно:</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1) ввести в дію план запровадження та забезпечення заходів правового режиму воєнного стану в Україні;</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Стаття 12¹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1) працює відповідно до Регламенту Кабінету Міністрів України в умовах воєнного стану;</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 xml:space="preserve">2) розробляє та вводить в дію План запровадження та забезпечення заходів правового </w:t>
      </w:r>
      <w:r w:rsidRPr="009B56FD">
        <w:rPr>
          <w:rFonts w:eastAsia="Calibri" w:cs="Times New Roman"/>
          <w:sz w:val="24"/>
          <w:szCs w:val="26"/>
          <w:lang w:eastAsia="ru-RU"/>
        </w:rPr>
        <w:lastRenderedPageBreak/>
        <w:t>режиму воєнного стану в окремих місцевостях України з урахуванням загроз та особливостей конкретної ситуації, яка склалася.</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Згідно з сьомим абзацом пункту 5 частини 1 статті 20 Закону України від 27.02.2014 № 794 «Про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37 розділу Х «Прикінцеві та перехідні положення» Закону 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 </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На виконання цієї норми Закону урядом були прийняті Особливості.</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Положеннями Особливостей передбачено підставу для здійснення закупівлі підпунктом 5 пункту 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 відповідно до абзацу п’ятого підпункту 5 пункту 13 Особливостей роботи, товари чи послуги можуть бути виконані, поставлені чи надані виключно певним суб’єктом господарювання у випадку необхідності захисту прав інтелектуальної власності.</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Відповідно до умов договору від 25.09.2023 № 29-23/457/2023, укладеного між Державною митною службою України та Приватним акціонерним товариством «Центр комп’ютерних технологій «ІнфоПлюс», було розширено функціональні можливості програмного забезпечення, призначеного для автоматизації роботи з документами у діловодстві Держмитслужби, впровадження цього програмного забезпечення та його супроводження. З 11 грудня 2023 року доопрацьовану систему електронного документообігу Держмитслужби введено в дослідну експлуатацію наказом Держмитслужби від 07.12.2023 № 913 «Про введення в дослідну експлуатацію системи електронного документообігу Державної митної служби України» (із змінами).</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 xml:space="preserve">З метою забезпечення у 2025 році належного функціонування системи електронного документообігу Держмитслужби необхідно забезпечити супроводження та технічну підтримку програмного забезпечення АСКОД, що використовується у складі цієї системи, зокрема, але не виключно у зв’язку із: </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змінами законодавства, які обумовлюють необхідність внесення змін та/або доповнень до програмного забезпечення;</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 xml:space="preserve">доопрацюванням та/або удосконаленням функціональних можливостей програмного забезпечення; </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виправленням недоліків програмного забезпечення;</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іншими організаційно-технічними причинами, пов’язаними з функціонуванням програмного забезпечення (оновлення версій операційних систем, зміни у криптографічних програмних засобах, зміни у програмному забезпеченні інших виробників тощо), які обумовлюють внесення змін та/або доповнень до програмного забезпечення.</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Потреба в супроводженні та технічній підтримці програмного забезпечення «АСКОД Корпоративний», «АСКОД WEB», «АСКОД АРМ Керівника» у складі системи електронного документообігу Держмитслужби зумовлена перш за все необхідністю забезпечення виконання покладених на Держмитслужбу та її територіальні органи завдань і функцій з організації документування управлінської діяльності та електронного документообігу між структурними підрозділами апарату Держмитслужби, її територіальними органами, іншими органами державної влади, судами, митними, правоохоронними та іншими органами іноземних держав.</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 xml:space="preserve">Для цього Держмитслужбою планується здійснити закупівлю шляхом укладення договору про закупівлю без застосування відкритих торгів з урахуванням Особливостей. </w:t>
      </w:r>
      <w:r w:rsidRPr="009B56FD">
        <w:rPr>
          <w:rFonts w:eastAsia="Calibri" w:cs="Times New Roman"/>
          <w:sz w:val="24"/>
          <w:szCs w:val="26"/>
          <w:lang w:eastAsia="ru-RU"/>
        </w:rPr>
        <w:lastRenderedPageBreak/>
        <w:t xml:space="preserve">Вказане пов’язано з тим, що послуги можуть бути надані виключно певним суб’єктом господарювання, а також у зв’язку з необхідністю захисту прав інтелектуальної власності (підпункт 5 пункту 13 Особливостей). </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Виключні майнові права інтелектуальної власності на ліцензійне програмне забезпечення системи електронного документообігу АСКОД (у тому числі: на програмне забезпечення «АСКОД Корпоративний», «АСКОД WEB», «АСКОД АРМ Керівника»), включаючи Програмну продукцію (яка стосується технічної підтримки із супроводженням зазначеного програмного забезпечення АСКОД), належать Приватному акціонерному товариству «Центр комп’ютерних технологій «ІнфоПлюс» (далі - АТ «ІнфоПлюс»).</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Замовникові надається безстрокове право користування цим програмним забезпеченням, включаючи Програмну продукцію (яка стосується технічної підтримки із супроводженням зазначеного програмного забезпечення АСКОД зазначеного програмного забезпечення АСКОД) без права передачі самого програмного забезпечення та/або повноважень на його користування третім особам.</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Листом АТ «ІнфоПлюс» від 16.01.2025 № 34/07 (вх. Держмитслужби № 1665/13/5 від 16.01.2025) проінформувало Держмитслужбу про те, що не передавало і не планує передавати жодній установі, підприємству, організації, іншим юридичним або фізичним особам виключні майнові права на розпорядження програмним забезпеченням АСКОД (у тому числі внесення змін до вихідного коду комп’ютерної програми).</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 xml:space="preserve">Здійснення цієї закупівлі шляхом укладення договору про закупівлю без застосування відкритих торгів обумовлена тим, що послуги можуть бути надані виключно певним суб’єктом господарювання у зв’язку з необхідністю захисту прав інтелектуальної власності (підпункт 5 пункту 13 Особливостей). </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Підставами, які дозволяють здійснити таку закупівлю без застосування електронної системи (відкритих торгів) є документи, що підтверджують виключні майнові права інтелектуальної власності АТ «ІнфоПлюс» на програмне забезпечення АСКОД, а саме:</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 xml:space="preserve">свідоцтво про реєстрацію авторського права на твір «Комп’ютерна програма «Система електронного документообігу АСКОД. Програмне забезпечення АСКОД Корпоративний» («АСКОД Корпоративний»)» № 38912 від 30.06.2011, видане Міністерством освіти і науки України; </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рішення про реєстрацію договору, який стосується права автора на твір «Комп’ютерна програма «Система електронного документообігу АСКОД. Програмне забезпечення АСКОД WEB»» № 1578 від 30.06.2011, видане Міністерством освіти і науки України;</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свідоцтво про реєстрацію авторського права на твір «Комп’ютерна програма «Система електронного документообігу АСКОД. Програмне забезпечення АСКОД АРМ Керівника» («АСКОД АРМ Керівника»)» № 86328 від 25.02.2019, видане Міністерством економічного розвитку і торгівлі України;</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 xml:space="preserve">свідоцтво про реєстрацію авторського права на твір «Комп’ютерна програма «АСКОД Керівник»» № 121876 від 12.12.2023, видане Державною організацією «Український національний офіс інтелектуальної власності та інновацій». </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Обсяги закупівель визначаються на підставі річного планування, а також з урахуванням потреби замовника на період до кінця 2025 року.</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Отже, у випадку необхідності захисту прав інтелектуальної власності (пп. 5 п. 13 Особливостей), здійснювати закупівлю Послуг, пов’язаних із супроводженням та технічною підтримкою програмного забезпечення АСКОД у складі системи електронного документообігу Державної митної служби України в інших організаціях Замовник не має можливостей. Дані послуги можуть бути надані лише певним виконавцем, а саме Приватним акціонерним товариством «Центр комп’ютерних технологій «ІнфоПлюс», інша альтернатива відсутня.</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 xml:space="preserve">Водночас, як передбачено чинним законодавством, під час здійснення закупівель замовники повинні дотримуватися принципів здійснення публічних закупівель. </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Проєкт інформатизації Національної програми інформатизації (далі – поєкт інформатизації) погоджено Адміністрацією Держспецзв’язку (лист від 06.02.2025 №08/01-</w:t>
      </w:r>
      <w:r w:rsidRPr="009B56FD">
        <w:rPr>
          <w:rFonts w:eastAsia="Calibri" w:cs="Times New Roman"/>
          <w:sz w:val="24"/>
          <w:szCs w:val="26"/>
          <w:lang w:eastAsia="ru-RU"/>
        </w:rPr>
        <w:lastRenderedPageBreak/>
        <w:t>1188/2025) та Міністерством цифрової трансформації України (лист від 15.02.2025 № 1/04-2-2469).</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 xml:space="preserve">Враховуючи зазначене, з метою дотримання принципу ефективності закупівлі, якнайшвидшого забезпечення наявної потреби Замовника в умовах воєнного стану замовник прийняв рішення щодо здійснення Закупівель без застосування відкритих торгів та/або електронного каталогу для закупівлі послуг та застосування під час здійснення Закупівель, як виняток, підстави за підпунктом 5 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 коли роботи, товари чи послуги можуть бути виконані, поставлені чи надані виключно певним суб’єктом господарювання у випадку необхідності захисту прав інтелектуальної власності і укладення договорів. </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За результатами Закупівель, здійснених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38 розділу Х «Прикінцеві та перехідні положення» Закону.</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З огляду на викладене, рішення Замовника про проведення Закупівель відповідає чинному законодавству.</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Перелік документів, якими підтверджується наявність підстави для застосування виключення за Особливостями (документальне підтвердження):</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1.</w:t>
      </w:r>
      <w:r w:rsidRPr="009B56FD">
        <w:rPr>
          <w:rFonts w:eastAsia="Calibri" w:cs="Times New Roman"/>
          <w:sz w:val="24"/>
          <w:szCs w:val="26"/>
          <w:lang w:eastAsia="ru-RU"/>
        </w:rPr>
        <w:tab/>
        <w:t xml:space="preserve">Лист щодо майнових прав від 16.01.2025 №34/07; </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2.</w:t>
      </w:r>
      <w:r w:rsidRPr="009B56FD">
        <w:rPr>
          <w:rFonts w:eastAsia="Calibri" w:cs="Times New Roman"/>
          <w:sz w:val="24"/>
          <w:szCs w:val="26"/>
          <w:lang w:eastAsia="ru-RU"/>
        </w:rPr>
        <w:tab/>
        <w:t>Свідоцтва про реєстрацію авторського права на твір № 38912 від 30.06.2011р.;</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3.</w:t>
      </w:r>
      <w:r w:rsidRPr="009B56FD">
        <w:rPr>
          <w:rFonts w:eastAsia="Calibri" w:cs="Times New Roman"/>
          <w:sz w:val="24"/>
          <w:szCs w:val="26"/>
          <w:lang w:eastAsia="ru-RU"/>
        </w:rPr>
        <w:tab/>
        <w:t>Рішення про реєстрацію договору, який стосується права автора на твір №1578 від 30.06.2011 р.;</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4.</w:t>
      </w:r>
      <w:r w:rsidRPr="009B56FD">
        <w:rPr>
          <w:rFonts w:eastAsia="Calibri" w:cs="Times New Roman"/>
          <w:sz w:val="24"/>
          <w:szCs w:val="26"/>
          <w:lang w:eastAsia="ru-RU"/>
        </w:rPr>
        <w:tab/>
        <w:t>Свідоцтво про реєстрацію авторського права на твір № 86328 від 25.02.2019р.;</w:t>
      </w:r>
    </w:p>
    <w:p w:rsidR="009B56FD" w:rsidRPr="009B56FD" w:rsidRDefault="009B56FD" w:rsidP="009B56FD">
      <w:pPr>
        <w:widowControl w:val="0"/>
        <w:suppressAutoHyphens/>
        <w:autoSpaceDN w:val="0"/>
        <w:ind w:firstLine="708"/>
        <w:jc w:val="both"/>
        <w:textAlignment w:val="baseline"/>
        <w:rPr>
          <w:rFonts w:eastAsia="Calibri" w:cs="Times New Roman"/>
          <w:sz w:val="24"/>
          <w:szCs w:val="26"/>
          <w:lang w:eastAsia="ru-RU"/>
        </w:rPr>
      </w:pPr>
      <w:r w:rsidRPr="009B56FD">
        <w:rPr>
          <w:rFonts w:eastAsia="Calibri" w:cs="Times New Roman"/>
          <w:sz w:val="24"/>
          <w:szCs w:val="26"/>
          <w:lang w:eastAsia="ru-RU"/>
        </w:rPr>
        <w:t>5.</w:t>
      </w:r>
      <w:r w:rsidRPr="009B56FD">
        <w:rPr>
          <w:rFonts w:eastAsia="Calibri" w:cs="Times New Roman"/>
          <w:sz w:val="24"/>
          <w:szCs w:val="26"/>
          <w:lang w:eastAsia="ru-RU"/>
        </w:rPr>
        <w:tab/>
        <w:t>Свідоцтво про реєстрацію авторського права на твір № 121876 від 12.12.2023р.</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p>
    <w:p w:rsidR="0003718E" w:rsidRPr="00F62C35" w:rsidRDefault="0003718E" w:rsidP="00051C87">
      <w:pPr>
        <w:pStyle w:val="a3"/>
        <w:tabs>
          <w:tab w:val="left" w:pos="993"/>
          <w:tab w:val="left" w:pos="9639"/>
        </w:tabs>
        <w:ind w:left="0" w:firstLine="567"/>
        <w:jc w:val="both"/>
        <w:rPr>
          <w:rFonts w:cs="Times New Roman"/>
          <w:sz w:val="24"/>
          <w:szCs w:val="24"/>
        </w:rPr>
      </w:pPr>
    </w:p>
    <w:sectPr w:rsidR="0003718E" w:rsidRPr="00F62C35" w:rsidSect="009B56FD">
      <w:headerReference w:type="default" r:id="rId7"/>
      <w:pgSz w:w="11906" w:h="16838"/>
      <w:pgMar w:top="426" w:right="850" w:bottom="568"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6FD" w:rsidRDefault="009B56FD" w:rsidP="009B56FD">
      <w:r>
        <w:separator/>
      </w:r>
    </w:p>
  </w:endnote>
  <w:endnote w:type="continuationSeparator" w:id="0">
    <w:p w:rsidR="009B56FD" w:rsidRDefault="009B56FD" w:rsidP="009B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6FD" w:rsidRDefault="009B56FD" w:rsidP="009B56FD">
      <w:r>
        <w:separator/>
      </w:r>
    </w:p>
  </w:footnote>
  <w:footnote w:type="continuationSeparator" w:id="0">
    <w:p w:rsidR="009B56FD" w:rsidRDefault="009B56FD" w:rsidP="009B5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731570"/>
      <w:docPartObj>
        <w:docPartGallery w:val="Page Numbers (Top of Page)"/>
        <w:docPartUnique/>
      </w:docPartObj>
    </w:sdtPr>
    <w:sdtEndPr/>
    <w:sdtContent>
      <w:p w:rsidR="009B56FD" w:rsidRDefault="009B56FD">
        <w:pPr>
          <w:pStyle w:val="ae"/>
          <w:jc w:val="center"/>
        </w:pPr>
        <w:r>
          <w:fldChar w:fldCharType="begin"/>
        </w:r>
        <w:r>
          <w:instrText>PAGE   \* MERGEFORMAT</w:instrText>
        </w:r>
        <w:r>
          <w:fldChar w:fldCharType="separate"/>
        </w:r>
        <w:r w:rsidR="00403A16">
          <w:rPr>
            <w:noProof/>
          </w:rPr>
          <w:t>4</w:t>
        </w:r>
        <w:r>
          <w:fldChar w:fldCharType="end"/>
        </w:r>
      </w:p>
    </w:sdtContent>
  </w:sdt>
  <w:p w:rsidR="009B56FD" w:rsidRDefault="009B56F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33A05"/>
    <w:multiLevelType w:val="hybridMultilevel"/>
    <w:tmpl w:val="0E10D1C8"/>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79FE"/>
    <w:multiLevelType w:val="hybridMultilevel"/>
    <w:tmpl w:val="6C8CA20A"/>
    <w:lvl w:ilvl="0" w:tplc="011E36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6E49"/>
    <w:multiLevelType w:val="hybridMultilevel"/>
    <w:tmpl w:val="8DD8FAC4"/>
    <w:lvl w:ilvl="0" w:tplc="BA60A694">
      <w:start w:val="1"/>
      <w:numFmt w:val="decimal"/>
      <w:lvlText w:val="%1."/>
      <w:lvlJc w:val="left"/>
      <w:pPr>
        <w:ind w:left="821" w:hanging="284"/>
      </w:pPr>
      <w:rPr>
        <w:b w:val="0"/>
        <w:bCs w:val="0"/>
        <w:i w:val="0"/>
        <w:iCs w:val="0"/>
        <w:spacing w:val="0"/>
        <w:w w:val="100"/>
        <w:sz w:val="24"/>
        <w:szCs w:val="24"/>
        <w:lang w:val="uk-UA" w:eastAsia="en-US" w:bidi="ar-SA"/>
      </w:rPr>
    </w:lvl>
    <w:lvl w:ilvl="1" w:tplc="CAA4A3B0">
      <w:numFmt w:val="bullet"/>
      <w:lvlText w:val="-"/>
      <w:lvlJc w:val="left"/>
      <w:pPr>
        <w:ind w:left="821" w:hanging="208"/>
      </w:pPr>
      <w:rPr>
        <w:rFonts w:ascii="Times New Roman" w:eastAsia="Times New Roman" w:hAnsi="Times New Roman" w:cs="Times New Roman" w:hint="default"/>
        <w:b w:val="0"/>
        <w:bCs w:val="0"/>
        <w:i w:val="0"/>
        <w:iCs w:val="0"/>
        <w:spacing w:val="0"/>
        <w:w w:val="100"/>
        <w:sz w:val="26"/>
        <w:szCs w:val="26"/>
        <w:lang w:val="uk-UA" w:eastAsia="en-US" w:bidi="ar-SA"/>
      </w:rPr>
    </w:lvl>
    <w:lvl w:ilvl="2" w:tplc="1E76D5DE">
      <w:numFmt w:val="bullet"/>
      <w:lvlText w:val="•"/>
      <w:lvlJc w:val="left"/>
      <w:pPr>
        <w:ind w:left="2713" w:hanging="208"/>
      </w:pPr>
      <w:rPr>
        <w:rFonts w:hint="default"/>
        <w:lang w:val="uk-UA" w:eastAsia="en-US" w:bidi="ar-SA"/>
      </w:rPr>
    </w:lvl>
    <w:lvl w:ilvl="3" w:tplc="523A159A">
      <w:numFmt w:val="bullet"/>
      <w:lvlText w:val="•"/>
      <w:lvlJc w:val="left"/>
      <w:pPr>
        <w:ind w:left="3659" w:hanging="208"/>
      </w:pPr>
      <w:rPr>
        <w:rFonts w:hint="default"/>
        <w:lang w:val="uk-UA" w:eastAsia="en-US" w:bidi="ar-SA"/>
      </w:rPr>
    </w:lvl>
    <w:lvl w:ilvl="4" w:tplc="2EEEF000">
      <w:numFmt w:val="bullet"/>
      <w:lvlText w:val="•"/>
      <w:lvlJc w:val="left"/>
      <w:pPr>
        <w:ind w:left="4606" w:hanging="208"/>
      </w:pPr>
      <w:rPr>
        <w:rFonts w:hint="default"/>
        <w:lang w:val="uk-UA" w:eastAsia="en-US" w:bidi="ar-SA"/>
      </w:rPr>
    </w:lvl>
    <w:lvl w:ilvl="5" w:tplc="F06053AA">
      <w:numFmt w:val="bullet"/>
      <w:lvlText w:val="•"/>
      <w:lvlJc w:val="left"/>
      <w:pPr>
        <w:ind w:left="5553" w:hanging="208"/>
      </w:pPr>
      <w:rPr>
        <w:rFonts w:hint="default"/>
        <w:lang w:val="uk-UA" w:eastAsia="en-US" w:bidi="ar-SA"/>
      </w:rPr>
    </w:lvl>
    <w:lvl w:ilvl="6" w:tplc="35068D4E">
      <w:numFmt w:val="bullet"/>
      <w:lvlText w:val="•"/>
      <w:lvlJc w:val="left"/>
      <w:pPr>
        <w:ind w:left="6499" w:hanging="208"/>
      </w:pPr>
      <w:rPr>
        <w:rFonts w:hint="default"/>
        <w:lang w:val="uk-UA" w:eastAsia="en-US" w:bidi="ar-SA"/>
      </w:rPr>
    </w:lvl>
    <w:lvl w:ilvl="7" w:tplc="4E4E8868">
      <w:numFmt w:val="bullet"/>
      <w:lvlText w:val="•"/>
      <w:lvlJc w:val="left"/>
      <w:pPr>
        <w:ind w:left="7446" w:hanging="208"/>
      </w:pPr>
      <w:rPr>
        <w:rFonts w:hint="default"/>
        <w:lang w:val="uk-UA" w:eastAsia="en-US" w:bidi="ar-SA"/>
      </w:rPr>
    </w:lvl>
    <w:lvl w:ilvl="8" w:tplc="7988F380">
      <w:numFmt w:val="bullet"/>
      <w:lvlText w:val="•"/>
      <w:lvlJc w:val="left"/>
      <w:pPr>
        <w:ind w:left="8392" w:hanging="208"/>
      </w:pPr>
      <w:rPr>
        <w:rFonts w:hint="default"/>
        <w:lang w:val="uk-UA" w:eastAsia="en-US" w:bidi="ar-SA"/>
      </w:rPr>
    </w:lvl>
  </w:abstractNum>
  <w:abstractNum w:abstractNumId="4"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5" w15:restartNumberingAfterBreak="0">
    <w:nsid w:val="1AB70790"/>
    <w:multiLevelType w:val="hybridMultilevel"/>
    <w:tmpl w:val="ABC05358"/>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DF51FF"/>
    <w:multiLevelType w:val="hybridMultilevel"/>
    <w:tmpl w:val="6306739A"/>
    <w:lvl w:ilvl="0" w:tplc="75B2A00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BB213AB"/>
    <w:multiLevelType w:val="hybridMultilevel"/>
    <w:tmpl w:val="469E8168"/>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327216"/>
    <w:multiLevelType w:val="hybridMultilevel"/>
    <w:tmpl w:val="02D0403C"/>
    <w:lvl w:ilvl="0" w:tplc="B676616E">
      <w:numFmt w:val="bullet"/>
      <w:lvlText w:val="•"/>
      <w:lvlJc w:val="left"/>
      <w:pPr>
        <w:ind w:left="821" w:hanging="187"/>
      </w:pPr>
      <w:rPr>
        <w:rFonts w:ascii="Times New Roman" w:eastAsia="Times New Roman" w:hAnsi="Times New Roman" w:cs="Times New Roman" w:hint="default"/>
        <w:b w:val="0"/>
        <w:bCs w:val="0"/>
        <w:i w:val="0"/>
        <w:iCs w:val="0"/>
        <w:spacing w:val="0"/>
        <w:w w:val="100"/>
        <w:sz w:val="28"/>
        <w:szCs w:val="28"/>
        <w:lang w:val="uk-UA" w:eastAsia="en-US" w:bidi="ar-SA"/>
      </w:rPr>
    </w:lvl>
    <w:lvl w:ilvl="1" w:tplc="4968A7DA">
      <w:numFmt w:val="bullet"/>
      <w:lvlText w:val="•"/>
      <w:lvlJc w:val="left"/>
      <w:pPr>
        <w:ind w:left="1766" w:hanging="187"/>
      </w:pPr>
      <w:rPr>
        <w:rFonts w:hint="default"/>
        <w:lang w:val="uk-UA" w:eastAsia="en-US" w:bidi="ar-SA"/>
      </w:rPr>
    </w:lvl>
    <w:lvl w:ilvl="2" w:tplc="08B2F3C4">
      <w:numFmt w:val="bullet"/>
      <w:lvlText w:val="•"/>
      <w:lvlJc w:val="left"/>
      <w:pPr>
        <w:ind w:left="2713" w:hanging="187"/>
      </w:pPr>
      <w:rPr>
        <w:rFonts w:hint="default"/>
        <w:lang w:val="uk-UA" w:eastAsia="en-US" w:bidi="ar-SA"/>
      </w:rPr>
    </w:lvl>
    <w:lvl w:ilvl="3" w:tplc="65C8190C">
      <w:numFmt w:val="bullet"/>
      <w:lvlText w:val="•"/>
      <w:lvlJc w:val="left"/>
      <w:pPr>
        <w:ind w:left="3659" w:hanging="187"/>
      </w:pPr>
      <w:rPr>
        <w:rFonts w:hint="default"/>
        <w:lang w:val="uk-UA" w:eastAsia="en-US" w:bidi="ar-SA"/>
      </w:rPr>
    </w:lvl>
    <w:lvl w:ilvl="4" w:tplc="5966F34A">
      <w:numFmt w:val="bullet"/>
      <w:lvlText w:val="•"/>
      <w:lvlJc w:val="left"/>
      <w:pPr>
        <w:ind w:left="4606" w:hanging="187"/>
      </w:pPr>
      <w:rPr>
        <w:rFonts w:hint="default"/>
        <w:lang w:val="uk-UA" w:eastAsia="en-US" w:bidi="ar-SA"/>
      </w:rPr>
    </w:lvl>
    <w:lvl w:ilvl="5" w:tplc="EB34C470">
      <w:numFmt w:val="bullet"/>
      <w:lvlText w:val="•"/>
      <w:lvlJc w:val="left"/>
      <w:pPr>
        <w:ind w:left="5553" w:hanging="187"/>
      </w:pPr>
      <w:rPr>
        <w:rFonts w:hint="default"/>
        <w:lang w:val="uk-UA" w:eastAsia="en-US" w:bidi="ar-SA"/>
      </w:rPr>
    </w:lvl>
    <w:lvl w:ilvl="6" w:tplc="B6789EA4">
      <w:numFmt w:val="bullet"/>
      <w:lvlText w:val="•"/>
      <w:lvlJc w:val="left"/>
      <w:pPr>
        <w:ind w:left="6499" w:hanging="187"/>
      </w:pPr>
      <w:rPr>
        <w:rFonts w:hint="default"/>
        <w:lang w:val="uk-UA" w:eastAsia="en-US" w:bidi="ar-SA"/>
      </w:rPr>
    </w:lvl>
    <w:lvl w:ilvl="7" w:tplc="8AA685CA">
      <w:numFmt w:val="bullet"/>
      <w:lvlText w:val="•"/>
      <w:lvlJc w:val="left"/>
      <w:pPr>
        <w:ind w:left="7446" w:hanging="187"/>
      </w:pPr>
      <w:rPr>
        <w:rFonts w:hint="default"/>
        <w:lang w:val="uk-UA" w:eastAsia="en-US" w:bidi="ar-SA"/>
      </w:rPr>
    </w:lvl>
    <w:lvl w:ilvl="8" w:tplc="235E53C8">
      <w:numFmt w:val="bullet"/>
      <w:lvlText w:val="•"/>
      <w:lvlJc w:val="left"/>
      <w:pPr>
        <w:ind w:left="8392" w:hanging="187"/>
      </w:pPr>
      <w:rPr>
        <w:rFonts w:hint="default"/>
        <w:lang w:val="uk-UA" w:eastAsia="en-US" w:bidi="ar-SA"/>
      </w:rPr>
    </w:lvl>
  </w:abstractNum>
  <w:abstractNum w:abstractNumId="10" w15:restartNumberingAfterBreak="0">
    <w:nsid w:val="32D85334"/>
    <w:multiLevelType w:val="hybridMultilevel"/>
    <w:tmpl w:val="739C9412"/>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6633AD"/>
    <w:multiLevelType w:val="hybridMultilevel"/>
    <w:tmpl w:val="440A9D20"/>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0A0BA1"/>
    <w:multiLevelType w:val="hybridMultilevel"/>
    <w:tmpl w:val="1730F4D8"/>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6" w15:restartNumberingAfterBreak="0">
    <w:nsid w:val="5007754B"/>
    <w:multiLevelType w:val="hybridMultilevel"/>
    <w:tmpl w:val="8BAA7562"/>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316201"/>
    <w:multiLevelType w:val="hybridMultilevel"/>
    <w:tmpl w:val="CBCA7FE4"/>
    <w:lvl w:ilvl="0" w:tplc="0422000F">
      <w:start w:val="2"/>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06556FA"/>
    <w:multiLevelType w:val="hybridMultilevel"/>
    <w:tmpl w:val="09182D7C"/>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540B8"/>
    <w:multiLevelType w:val="hybridMultilevel"/>
    <w:tmpl w:val="168C72BE"/>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66D3657"/>
    <w:multiLevelType w:val="hybridMultilevel"/>
    <w:tmpl w:val="E2B6090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005A5"/>
    <w:multiLevelType w:val="hybridMultilevel"/>
    <w:tmpl w:val="287CA17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60041EB"/>
    <w:multiLevelType w:val="hybridMultilevel"/>
    <w:tmpl w:val="23B07AE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6"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25"/>
  </w:num>
  <w:num w:numId="3">
    <w:abstractNumId w:val="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4"/>
  </w:num>
  <w:num w:numId="7">
    <w:abstractNumId w:val="21"/>
  </w:num>
  <w:num w:numId="8">
    <w:abstractNumId w:val="13"/>
  </w:num>
  <w:num w:numId="9">
    <w:abstractNumId w:val="11"/>
  </w:num>
  <w:num w:numId="10">
    <w:abstractNumId w:val="26"/>
  </w:num>
  <w:num w:numId="11">
    <w:abstractNumId w:val="17"/>
  </w:num>
  <w:num w:numId="12">
    <w:abstractNumId w:val="9"/>
  </w:num>
  <w:num w:numId="13">
    <w:abstractNumId w:val="3"/>
  </w:num>
  <w:num w:numId="14">
    <w:abstractNumId w:val="23"/>
  </w:num>
  <w:num w:numId="15">
    <w:abstractNumId w:val="5"/>
  </w:num>
  <w:num w:numId="16">
    <w:abstractNumId w:val="14"/>
  </w:num>
  <w:num w:numId="17">
    <w:abstractNumId w:val="16"/>
  </w:num>
  <w:num w:numId="18">
    <w:abstractNumId w:val="2"/>
  </w:num>
  <w:num w:numId="19">
    <w:abstractNumId w:val="10"/>
  </w:num>
  <w:num w:numId="20">
    <w:abstractNumId w:val="22"/>
  </w:num>
  <w:num w:numId="21">
    <w:abstractNumId w:val="19"/>
  </w:num>
  <w:num w:numId="22">
    <w:abstractNumId w:val="20"/>
  </w:num>
  <w:num w:numId="23">
    <w:abstractNumId w:val="12"/>
  </w:num>
  <w:num w:numId="24">
    <w:abstractNumId w:val="7"/>
  </w:num>
  <w:num w:numId="25">
    <w:abstractNumId w:val="1"/>
  </w:num>
  <w:num w:numId="26">
    <w:abstractNumId w:val="24"/>
  </w:num>
  <w:num w:numId="27">
    <w:abstractNumId w:val="8"/>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51C87"/>
    <w:rsid w:val="000C6E30"/>
    <w:rsid w:val="001A63D4"/>
    <w:rsid w:val="002F1F28"/>
    <w:rsid w:val="00403A16"/>
    <w:rsid w:val="00464A76"/>
    <w:rsid w:val="004D2E48"/>
    <w:rsid w:val="004D33BD"/>
    <w:rsid w:val="005527AD"/>
    <w:rsid w:val="00564C9C"/>
    <w:rsid w:val="0071212D"/>
    <w:rsid w:val="007329CB"/>
    <w:rsid w:val="00733068"/>
    <w:rsid w:val="0084248B"/>
    <w:rsid w:val="00860A1D"/>
    <w:rsid w:val="00984C2C"/>
    <w:rsid w:val="009B56FD"/>
    <w:rsid w:val="009B6ECD"/>
    <w:rsid w:val="009F366E"/>
    <w:rsid w:val="00A238BF"/>
    <w:rsid w:val="00B24970"/>
    <w:rsid w:val="00CF2B91"/>
    <w:rsid w:val="00F62C35"/>
    <w:rsid w:val="00FE1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18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
    <w:link w:val="a4"/>
    <w:uiPriority w:val="34"/>
    <w:qFormat/>
    <w:rsid w:val="0003718E"/>
    <w:pPr>
      <w:ind w:left="720"/>
      <w:contextualSpacing/>
    </w:pPr>
  </w:style>
  <w:style w:type="character" w:customStyle="1" w:styleId="a4">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3"/>
    <w:uiPriority w:val="34"/>
    <w:qFormat/>
    <w:rsid w:val="0003718E"/>
    <w:rPr>
      <w:rFonts w:ascii="Times New Roman" w:hAnsi="Times New Roman"/>
      <w:sz w:val="28"/>
    </w:rPr>
  </w:style>
  <w:style w:type="character" w:styleId="a5">
    <w:name w:val="Emphasis"/>
    <w:uiPriority w:val="99"/>
    <w:qFormat/>
    <w:rsid w:val="005527AD"/>
    <w:rPr>
      <w:i/>
      <w:iCs/>
    </w:rPr>
  </w:style>
  <w:style w:type="paragraph" w:customStyle="1" w:styleId="a6">
    <w:name w:val="Номер"/>
    <w:basedOn w:val="a"/>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7">
    <w:name w:val="Balloon Text"/>
    <w:basedOn w:val="a"/>
    <w:link w:val="a8"/>
    <w:uiPriority w:val="99"/>
    <w:semiHidden/>
    <w:unhideWhenUsed/>
    <w:rsid w:val="00733068"/>
    <w:rPr>
      <w:rFonts w:ascii="Segoe UI" w:hAnsi="Segoe UI" w:cs="Segoe UI"/>
      <w:sz w:val="18"/>
      <w:szCs w:val="18"/>
    </w:rPr>
  </w:style>
  <w:style w:type="character" w:customStyle="1" w:styleId="a8">
    <w:name w:val="Текст у виносці Знак"/>
    <w:basedOn w:val="a0"/>
    <w:link w:val="a7"/>
    <w:uiPriority w:val="99"/>
    <w:semiHidden/>
    <w:rsid w:val="00733068"/>
    <w:rPr>
      <w:rFonts w:ascii="Segoe UI" w:hAnsi="Segoe UI" w:cs="Segoe UI"/>
      <w:sz w:val="18"/>
      <w:szCs w:val="18"/>
    </w:rPr>
  </w:style>
  <w:style w:type="character" w:customStyle="1" w:styleId="a9">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
    <w:link w:val="a9"/>
    <w:rsid w:val="009B6ECD"/>
    <w:pPr>
      <w:widowControl w:val="0"/>
      <w:shd w:val="clear" w:color="auto" w:fill="FFFFFF"/>
      <w:spacing w:after="60" w:line="0" w:lineRule="atLeast"/>
      <w:ind w:hanging="420"/>
      <w:jc w:val="right"/>
    </w:pPr>
    <w:rPr>
      <w:rFonts w:eastAsia="Times New Roman"/>
      <w:sz w:val="23"/>
      <w:szCs w:val="23"/>
    </w:rPr>
  </w:style>
  <w:style w:type="paragraph" w:styleId="aa">
    <w:name w:val="Normal (Web)"/>
    <w:basedOn w:val="a"/>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8">
    <w:name w:val="Основной текст8"/>
    <w:basedOn w:val="a"/>
    <w:rsid w:val="00F62C35"/>
    <w:pPr>
      <w:widowControl w:val="0"/>
      <w:shd w:val="clear" w:color="auto" w:fill="FFFFFF"/>
      <w:spacing w:before="540" w:after="300" w:line="0" w:lineRule="atLeast"/>
      <w:ind w:hanging="360"/>
      <w:jc w:val="both"/>
    </w:pPr>
    <w:rPr>
      <w:rFonts w:cs="Times New Roman"/>
      <w:sz w:val="23"/>
      <w:szCs w:val="23"/>
    </w:rPr>
  </w:style>
  <w:style w:type="paragraph" w:styleId="ab">
    <w:name w:val="Body Text"/>
    <w:basedOn w:val="a"/>
    <w:link w:val="ac"/>
    <w:uiPriority w:val="99"/>
    <w:semiHidden/>
    <w:unhideWhenUsed/>
    <w:rsid w:val="00F62C35"/>
    <w:pPr>
      <w:spacing w:after="120" w:line="259" w:lineRule="auto"/>
    </w:pPr>
    <w:rPr>
      <w:rFonts w:ascii="Calibri" w:eastAsia="Calibri" w:hAnsi="Calibri" w:cs="Times New Roman"/>
      <w:sz w:val="22"/>
      <w:lang w:val="ru-RU"/>
    </w:rPr>
  </w:style>
  <w:style w:type="character" w:customStyle="1" w:styleId="ac">
    <w:name w:val="Основний текст Знак"/>
    <w:basedOn w:val="a0"/>
    <w:link w:val="ab"/>
    <w:uiPriority w:val="99"/>
    <w:semiHidden/>
    <w:rsid w:val="00F62C35"/>
    <w:rPr>
      <w:rFonts w:ascii="Calibri" w:eastAsia="Calibri" w:hAnsi="Calibri" w:cs="Times New Roman"/>
      <w:lang w:val="ru-RU"/>
    </w:rPr>
  </w:style>
  <w:style w:type="table" w:styleId="ad">
    <w:name w:val="Table Grid"/>
    <w:basedOn w:val="a1"/>
    <w:uiPriority w:val="39"/>
    <w:rsid w:val="00564C9C"/>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9B56FD"/>
    <w:pPr>
      <w:tabs>
        <w:tab w:val="center" w:pos="4819"/>
        <w:tab w:val="right" w:pos="9639"/>
      </w:tabs>
    </w:pPr>
  </w:style>
  <w:style w:type="character" w:customStyle="1" w:styleId="af">
    <w:name w:val="Верхній колонтитул Знак"/>
    <w:basedOn w:val="a0"/>
    <w:link w:val="ae"/>
    <w:uiPriority w:val="99"/>
    <w:rsid w:val="009B56FD"/>
    <w:rPr>
      <w:rFonts w:ascii="Times New Roman" w:hAnsi="Times New Roman"/>
      <w:sz w:val="28"/>
    </w:rPr>
  </w:style>
  <w:style w:type="paragraph" w:styleId="af0">
    <w:name w:val="footer"/>
    <w:basedOn w:val="a"/>
    <w:link w:val="af1"/>
    <w:uiPriority w:val="99"/>
    <w:unhideWhenUsed/>
    <w:rsid w:val="009B56FD"/>
    <w:pPr>
      <w:tabs>
        <w:tab w:val="center" w:pos="4819"/>
        <w:tab w:val="right" w:pos="9639"/>
      </w:tabs>
    </w:pPr>
  </w:style>
  <w:style w:type="character" w:customStyle="1" w:styleId="af1">
    <w:name w:val="Нижній колонтитул Знак"/>
    <w:basedOn w:val="a0"/>
    <w:link w:val="af0"/>
    <w:uiPriority w:val="99"/>
    <w:rsid w:val="009B56F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1616</Words>
  <Characters>11536</Characters>
  <Application>Microsoft Office Word</Application>
  <DocSecurity>0</DocSecurity>
  <Lines>192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Okhrymchuk Irina</cp:lastModifiedBy>
  <cp:revision>27</cp:revision>
  <cp:lastPrinted>2025-02-19T09:39:00Z</cp:lastPrinted>
  <dcterms:created xsi:type="dcterms:W3CDTF">2024-04-11T08:32:00Z</dcterms:created>
  <dcterms:modified xsi:type="dcterms:W3CDTF">2025-02-19T09:39:00Z</dcterms:modified>
</cp:coreProperties>
</file>