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471550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471550">
        <w:rPr>
          <w:sz w:val="24"/>
          <w:szCs w:val="24"/>
          <w:u w:val="single"/>
        </w:rPr>
        <w:t>09</w:t>
      </w:r>
      <w:r w:rsidRPr="006F557D">
        <w:rPr>
          <w:sz w:val="24"/>
          <w:szCs w:val="24"/>
          <w:u w:val="single"/>
          <w:lang w:val="ru-RU"/>
        </w:rPr>
        <w:t>-</w:t>
      </w:r>
      <w:r w:rsidR="00471550">
        <w:rPr>
          <w:sz w:val="24"/>
          <w:szCs w:val="24"/>
          <w:u w:val="single"/>
          <w:lang w:val="ru-RU"/>
        </w:rPr>
        <w:t>007130</w:t>
      </w:r>
      <w:bookmarkStart w:id="0" w:name="_GoBack"/>
      <w:bookmarkEnd w:id="0"/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4403BD" w:rsidRPr="004403BD" w:rsidRDefault="004403BD" w:rsidP="004403BD">
      <w:pPr>
        <w:jc w:val="both"/>
        <w:outlineLvl w:val="0"/>
        <w:rPr>
          <w:rFonts w:eastAsia="Times New Roman"/>
          <w:sz w:val="24"/>
          <w:szCs w:val="24"/>
        </w:rPr>
      </w:pPr>
      <w:r w:rsidRPr="004403BD">
        <w:rPr>
          <w:sz w:val="24"/>
          <w:szCs w:val="24"/>
        </w:rPr>
        <w:t xml:space="preserve">Послуги із </w:t>
      </w:r>
      <w:r w:rsidRPr="004403BD">
        <w:rPr>
          <w:sz w:val="24"/>
          <w:szCs w:val="24"/>
          <w:shd w:val="clear" w:color="auto" w:fill="FFFFFF"/>
        </w:rPr>
        <w:t xml:space="preserve">поставки оновлень програмного продукту «MASTER: Комплексний облік для бюджетних установ» за </w:t>
      </w:r>
      <w:r w:rsidRPr="004403BD">
        <w:rPr>
          <w:sz w:val="24"/>
          <w:szCs w:val="24"/>
        </w:rPr>
        <w:t>кодом ДК 021:2015 – 72260000-5 Послуги, пов’язані з програмним забезпеченням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471550" w:rsidRDefault="00471550" w:rsidP="00471550">
      <w:pPr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Розмір бюджетного призначення:</w:t>
      </w:r>
      <w:r>
        <w:rPr>
          <w:rFonts w:eastAsia="Times New Roman" w:cs="Times New Roman"/>
          <w:sz w:val="26"/>
          <w:szCs w:val="26"/>
        </w:rPr>
        <w:t xml:space="preserve"> 690 000,00 гривень згідно з кошторисом видатків Держмитслужби (апарат) на 2025 рік.</w:t>
      </w:r>
    </w:p>
    <w:p w:rsidR="00471550" w:rsidRDefault="00471550" w:rsidP="00471550">
      <w:pPr>
        <w:spacing w:before="280" w:after="28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Обґрунтування очікуваної вартості закупівлі: 574 740,00 гривень відповідно цінових пропозицій.</w:t>
      </w:r>
    </w:p>
    <w:p w:rsidR="00471550" w:rsidRDefault="00471550" w:rsidP="00471550">
      <w:pPr>
        <w:jc w:val="both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Підстави для здійснення закупівлі: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i/>
          <w:sz w:val="26"/>
          <w:szCs w:val="26"/>
          <w:highlight w:val="white"/>
        </w:rPr>
        <w:t>відповідно до підпункту 6 пункту 13 Особливостей: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rFonts w:eastAsia="Times New Roman" w:cs="Times New Roman"/>
          <w:i/>
          <w:sz w:val="26"/>
          <w:szCs w:val="26"/>
        </w:rPr>
        <w:t>.</w:t>
      </w:r>
    </w:p>
    <w:p w:rsidR="00471550" w:rsidRDefault="00471550" w:rsidP="00471550">
      <w:pPr>
        <w:jc w:val="both"/>
        <w:rPr>
          <w:rFonts w:eastAsia="Times New Roman" w:cs="Times New Roman"/>
          <w:i/>
          <w:sz w:val="26"/>
          <w:szCs w:val="26"/>
        </w:rPr>
      </w:pPr>
    </w:p>
    <w:p w:rsidR="00471550" w:rsidRDefault="00471550" w:rsidP="00471550">
      <w:pPr>
        <w:jc w:val="both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Обґрунтування підстави для здійснення: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:rsidR="00471550" w:rsidRDefault="00471550" w:rsidP="00471550">
      <w:pPr>
        <w:ind w:firstLine="709"/>
        <w:jc w:val="both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</w:rPr>
        <w:t>Указом Президента України від 24.02.2022 № 64 (зі змінами) термін дії воєнного стану встановлено до 09.05.2025 року.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Статтею 4 Указу № 64 Кабінету Міністрів України постановлено невідкладно: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1) ввести в дію план запровадження та забезпечення заходів правового режиму воєнного стану в Україні;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lastRenderedPageBreak/>
        <w:t>2) забезпечити фінансування та вжити в межах повноважень інших заходів, пов</w:t>
      </w:r>
      <w:r>
        <w:rPr>
          <w:rFonts w:eastAsia="Times New Roman" w:cs="Times New Roman"/>
          <w:sz w:val="26"/>
          <w:szCs w:val="26"/>
        </w:rPr>
        <w:t>’</w:t>
      </w:r>
      <w:r>
        <w:rPr>
          <w:rFonts w:eastAsia="Times New Roman" w:cs="Times New Roman"/>
          <w:color w:val="000000"/>
          <w:sz w:val="26"/>
          <w:szCs w:val="26"/>
        </w:rPr>
        <w:t>язаних із запровадженням правового режиму воєнного стану на території України.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Стаття 12</w:t>
      </w:r>
      <w:r>
        <w:rPr>
          <w:rFonts w:eastAsia="Times New Roman" w:cs="Times New Roman"/>
          <w:color w:val="000000"/>
          <w:sz w:val="26"/>
          <w:szCs w:val="26"/>
          <w:vertAlign w:val="superscript"/>
        </w:rPr>
        <w:t>1</w:t>
      </w:r>
      <w:r>
        <w:rPr>
          <w:rFonts w:eastAsia="Times New Roman" w:cs="Times New Roman"/>
          <w:color w:val="000000"/>
          <w:sz w:val="26"/>
          <w:szCs w:val="26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1) працює відповідно до Регламенту Кабінету Міністрів України в умовах воєнного стану;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Згідно з с</w:t>
      </w:r>
      <w:r>
        <w:rPr>
          <w:rFonts w:eastAsia="Times New Roman" w:cs="Times New Roman"/>
          <w:color w:val="000000"/>
          <w:sz w:val="26"/>
          <w:szCs w:val="26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«Прикінцеві та перехідні положення» Закону встановлено, що на період дії правового режиму воєнного стану в Україні, введеного Указом Президента України "Про введення воєнного стану в Україні" від 24 лютого 2022 року </w:t>
      </w:r>
      <w:hyperlink r:id="rId7" w:history="1">
        <w:r>
          <w:rPr>
            <w:rStyle w:val="ae"/>
            <w:rFonts w:eastAsia="Times New Roman" w:cs="Times New Roman"/>
            <w:sz w:val="26"/>
            <w:szCs w:val="26"/>
          </w:rPr>
          <w:t>№ 64/2022</w:t>
        </w:r>
      </w:hyperlink>
      <w:r>
        <w:rPr>
          <w:rFonts w:eastAsia="Times New Roman" w:cs="Times New Roman"/>
          <w:sz w:val="26"/>
          <w:szCs w:val="26"/>
        </w:rPr>
        <w:t xml:space="preserve">, затвердженим Законом України "Про затвердження Указу Президента України "Про введення воєнного стану в Україні" від 24 лютого 2022 року </w:t>
      </w:r>
      <w:hyperlink r:id="rId8" w:history="1">
        <w:r>
          <w:rPr>
            <w:rStyle w:val="ae"/>
            <w:rFonts w:eastAsia="Times New Roman" w:cs="Times New Roman"/>
            <w:sz w:val="26"/>
            <w:szCs w:val="26"/>
          </w:rPr>
          <w:t>№ 2102-IX</w:t>
        </w:r>
      </w:hyperlink>
      <w:r>
        <w:rPr>
          <w:rFonts w:eastAsia="Times New Roman" w:cs="Times New Roman"/>
          <w:sz w:val="26"/>
          <w:szCs w:val="26"/>
        </w:rPr>
        <w:t xml:space="preserve">, та протягом 90 днів з дня його припинення або скасування особливості здійснення закупівель товарів, робіт та послуг для замовників, передбачених цим Законом (далі - Особливості), визначаються Кабінетом Міністрів України із забезпеченням захищеності таких замовників від воєнних загроз та з дотриманням вимог, встановлених </w:t>
      </w:r>
      <w:hyperlink r:id="rId9" w:anchor="n2284" w:history="1">
        <w:r>
          <w:rPr>
            <w:rStyle w:val="ae"/>
            <w:rFonts w:eastAsia="Times New Roman" w:cs="Times New Roman"/>
            <w:sz w:val="26"/>
            <w:szCs w:val="26"/>
          </w:rPr>
          <w:t>пунктом 3-8</w:t>
        </w:r>
      </w:hyperlink>
      <w:r>
        <w:rPr>
          <w:rFonts w:eastAsia="Times New Roman" w:cs="Times New Roman"/>
          <w:sz w:val="26"/>
          <w:szCs w:val="26"/>
        </w:rPr>
        <w:t xml:space="preserve"> цього розділу.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b/>
          <w:i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На виконання </w:t>
      </w:r>
      <w:r>
        <w:rPr>
          <w:rFonts w:eastAsia="Times New Roman" w:cs="Times New Roman"/>
          <w:sz w:val="26"/>
          <w:szCs w:val="26"/>
        </w:rPr>
        <w:t>ціє</w:t>
      </w:r>
      <w:r>
        <w:rPr>
          <w:rFonts w:eastAsia="Times New Roman" w:cs="Times New Roman"/>
          <w:color w:val="000000"/>
          <w:sz w:val="26"/>
          <w:szCs w:val="26"/>
        </w:rPr>
        <w:t>ї норми Закону урядом бул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 w:cs="Times New Roman"/>
          <w:color w:val="000000"/>
          <w:sz w:val="26"/>
          <w:szCs w:val="26"/>
        </w:rPr>
        <w:t xml:space="preserve"> прийнят</w:t>
      </w:r>
      <w:r>
        <w:rPr>
          <w:rFonts w:eastAsia="Times New Roman" w:cs="Times New Roman"/>
          <w:sz w:val="26"/>
          <w:szCs w:val="26"/>
        </w:rPr>
        <w:t>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b/>
          <w:i/>
          <w:sz w:val="26"/>
          <w:szCs w:val="26"/>
        </w:rPr>
        <w:t>Особливості</w:t>
      </w:r>
      <w:r>
        <w:rPr>
          <w:rFonts w:eastAsia="Times New Roman" w:cs="Times New Roman"/>
          <w:b/>
          <w:i/>
          <w:color w:val="000000"/>
          <w:sz w:val="26"/>
          <w:szCs w:val="26"/>
        </w:rPr>
        <w:t>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Положеннями </w:t>
      </w:r>
      <w:r>
        <w:rPr>
          <w:rFonts w:eastAsia="Times New Roman" w:cs="Times New Roman"/>
          <w:b/>
          <w:i/>
          <w:sz w:val="26"/>
          <w:szCs w:val="26"/>
        </w:rPr>
        <w:t>Особливостей</w:t>
      </w:r>
      <w:r>
        <w:rPr>
          <w:rFonts w:eastAsia="Times New Roman" w:cs="Times New Roman"/>
          <w:sz w:val="26"/>
          <w:szCs w:val="26"/>
        </w:rPr>
        <w:t xml:space="preserve"> передбачено</w:t>
      </w:r>
      <w:r>
        <w:rPr>
          <w:rFonts w:eastAsia="Times New Roman"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>підставу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для здійснення закупівлі за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</w:rPr>
        <w:t>підпунктом 6 пункту 13:</w:t>
      </w:r>
      <w:r>
        <w:rPr>
          <w:rFonts w:eastAsia="Times New Roman" w:cs="Times New Roman"/>
          <w:sz w:val="26"/>
          <w:szCs w:val="26"/>
        </w:rPr>
        <w:t xml:space="preserve">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eastAsia="Times New Roman" w:cs="Times New Roman"/>
          <w:i/>
          <w:sz w:val="26"/>
          <w:szCs w:val="26"/>
          <w:highlight w:val="white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rFonts w:eastAsia="Times New Roman" w:cs="Times New Roman"/>
          <w:i/>
          <w:sz w:val="26"/>
          <w:szCs w:val="26"/>
        </w:rPr>
        <w:t>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</w:p>
    <w:p w:rsidR="00471550" w:rsidRDefault="00471550" w:rsidP="00471550">
      <w:pPr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lastRenderedPageBreak/>
        <w:t>Обсяг закупівлі визначається на підставі річного планування, а також з урахуванням потреби замовника на період  до кінця 2025 року.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</w:p>
    <w:p w:rsidR="00471550" w:rsidRDefault="00471550" w:rsidP="00471550">
      <w:pPr>
        <w:ind w:firstLine="72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Відповідно до службової записки від 27.03.2025 №22/22-03-01/4996 існує потреба у здійсненні</w:t>
      </w:r>
      <w:r>
        <w:rPr>
          <w:rFonts w:eastAsia="Times New Roman" w:cs="Times New Roman"/>
          <w:b/>
          <w:i/>
          <w:color w:val="000000"/>
          <w:sz w:val="26"/>
          <w:szCs w:val="26"/>
        </w:rPr>
        <w:t xml:space="preserve"> Закупівлі</w:t>
      </w:r>
      <w:r>
        <w:rPr>
          <w:rFonts w:eastAsia="Times New Roman" w:cs="Times New Roman"/>
          <w:color w:val="000000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471550" w:rsidRDefault="00471550" w:rsidP="00471550">
      <w:pPr>
        <w:ind w:firstLine="709"/>
        <w:jc w:val="both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</w:rPr>
        <w:t xml:space="preserve">Державною митною службою України було оголошено закупівлю за процедурою відкриті торги (з особливостями) в електронній системі закупівель за ідентифікаторами UA-2025-03-10-011011-а. </w:t>
      </w:r>
    </w:p>
    <w:p w:rsidR="00471550" w:rsidRDefault="00471550" w:rsidP="00471550">
      <w:pPr>
        <w:ind w:firstLine="720"/>
        <w:jc w:val="both"/>
        <w:rPr>
          <w:rFonts w:eastAsia="Times New Roman" w:cs="Times New Roman"/>
          <w:b/>
          <w:i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</w:rPr>
        <w:t xml:space="preserve">18.03.2025 року через неподання жодної тендерної пропозиції для участі у відкритих торгах у строк, установлений замовником, відкриті торги щодо </w:t>
      </w:r>
      <w:r>
        <w:rPr>
          <w:rFonts w:eastAsia="Times New Roman" w:cs="Times New Roman"/>
          <w:b/>
          <w:i/>
          <w:sz w:val="26"/>
          <w:szCs w:val="26"/>
        </w:rPr>
        <w:t xml:space="preserve">Закупівлі </w:t>
      </w:r>
      <w:r>
        <w:rPr>
          <w:rFonts w:eastAsia="Times New Roman" w:cs="Times New Roman"/>
          <w:i/>
          <w:sz w:val="26"/>
          <w:szCs w:val="26"/>
        </w:rPr>
        <w:t xml:space="preserve">автоматично відмінені електронною системою закупівель відповідно до п. 51 </w:t>
      </w:r>
      <w:r>
        <w:rPr>
          <w:rFonts w:eastAsia="Times New Roman" w:cs="Times New Roman"/>
          <w:b/>
          <w:i/>
          <w:sz w:val="26"/>
          <w:szCs w:val="26"/>
        </w:rPr>
        <w:t>Особливостей</w:t>
      </w:r>
      <w:r>
        <w:rPr>
          <w:rFonts w:eastAsia="Times New Roman" w:cs="Times New Roman"/>
          <w:i/>
          <w:sz w:val="26"/>
          <w:szCs w:val="26"/>
        </w:rPr>
        <w:t xml:space="preserve">. Звіт про результати проведення процедури закупівлі додається </w:t>
      </w:r>
      <w:r>
        <w:rPr>
          <w:rFonts w:eastAsia="Times New Roman" w:cs="Times New Roman"/>
          <w:b/>
          <w:i/>
          <w:sz w:val="26"/>
          <w:szCs w:val="26"/>
        </w:rPr>
        <w:t>(ID оголошення -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b/>
          <w:i/>
          <w:sz w:val="26"/>
          <w:szCs w:val="26"/>
        </w:rPr>
        <w:t>UA-2025-03-10-011011-а).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bookmarkStart w:id="1" w:name="_heading=h.30j0zll"/>
      <w:bookmarkEnd w:id="1"/>
      <w:r>
        <w:rPr>
          <w:rFonts w:eastAsia="Times New Roman" w:cs="Times New Roman"/>
          <w:sz w:val="26"/>
          <w:szCs w:val="26"/>
        </w:rPr>
        <w:t xml:space="preserve">При цьому у Замовника існує потреба в </w:t>
      </w:r>
      <w:r>
        <w:rPr>
          <w:rFonts w:eastAsia="Times New Roman" w:cs="Times New Roman"/>
          <w:b/>
          <w:i/>
          <w:sz w:val="26"/>
          <w:szCs w:val="26"/>
        </w:rPr>
        <w:t>Закупівлі</w:t>
      </w:r>
      <w:r>
        <w:rPr>
          <w:rFonts w:eastAsia="Times New Roman" w:cs="Times New Roman"/>
          <w:sz w:val="26"/>
          <w:szCs w:val="26"/>
        </w:rPr>
        <w:t>.</w:t>
      </w:r>
    </w:p>
    <w:p w:rsidR="00471550" w:rsidRDefault="00471550" w:rsidP="00471550">
      <w:pPr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Водночас</w:t>
      </w:r>
      <w:r>
        <w:rPr>
          <w:rFonts w:eastAsia="Times New Roman" w:cs="Times New Roman"/>
          <w:color w:val="000000"/>
          <w:sz w:val="26"/>
          <w:szCs w:val="26"/>
        </w:rPr>
        <w:t>, як передбачено чинним законодавством,</w:t>
      </w:r>
      <w:bookmarkStart w:id="2" w:name="bookmark=id.gjdgxs"/>
      <w:bookmarkEnd w:id="2"/>
      <w:r>
        <w:rPr>
          <w:rFonts w:eastAsia="Times New Roman" w:cs="Times New Roman"/>
          <w:color w:val="000000"/>
          <w:sz w:val="26"/>
          <w:szCs w:val="26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>
        <w:rPr>
          <w:rFonts w:eastAsia="Times New Roman" w:cs="Times New Roman"/>
          <w:sz w:val="26"/>
          <w:szCs w:val="26"/>
        </w:rPr>
        <w:t>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</w:rPr>
        <w:t>Отже</w:t>
      </w:r>
      <w:r>
        <w:rPr>
          <w:rFonts w:eastAsia="Times New Roman" w:cs="Times New Roman"/>
          <w:color w:val="000000"/>
          <w:sz w:val="26"/>
          <w:szCs w:val="26"/>
        </w:rPr>
        <w:t xml:space="preserve">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</w:t>
      </w:r>
      <w:r>
        <w:rPr>
          <w:rFonts w:eastAsia="Times New Roman" w:cs="Times New Roman"/>
          <w:sz w:val="26"/>
          <w:szCs w:val="26"/>
        </w:rPr>
        <w:t>З</w:t>
      </w:r>
      <w:r>
        <w:rPr>
          <w:rFonts w:eastAsia="Times New Roman" w:cs="Times New Roman"/>
          <w:color w:val="000000"/>
          <w:sz w:val="26"/>
          <w:szCs w:val="26"/>
        </w:rPr>
        <w:t xml:space="preserve">амовник прийняв рішення щодо здійснення </w:t>
      </w:r>
      <w:r>
        <w:rPr>
          <w:rFonts w:eastAsia="Times New Roman" w:cs="Times New Roman"/>
          <w:b/>
          <w:i/>
          <w:color w:val="000000"/>
          <w:sz w:val="26"/>
          <w:szCs w:val="26"/>
        </w:rPr>
        <w:t>Закупівлі</w:t>
      </w:r>
      <w:r>
        <w:rPr>
          <w:rFonts w:eastAsia="Times New Roman" w:cs="Times New Roman"/>
          <w:color w:val="000000"/>
          <w:sz w:val="26"/>
          <w:szCs w:val="26"/>
        </w:rPr>
        <w:t xml:space="preserve"> без застосування відкритих торгів та/або електронного каталогу для закупівлі </w:t>
      </w:r>
      <w:r>
        <w:rPr>
          <w:rFonts w:eastAsia="Times New Roman" w:cs="Times New Roman"/>
          <w:i/>
          <w:sz w:val="26"/>
          <w:szCs w:val="26"/>
        </w:rPr>
        <w:t xml:space="preserve">Послуг із поставки оновлень програмного продукту «MASTER: Комплексний облік для бюджетних установ» за кодом ДК 021:2015 – 72260000-5 Послуги, пов’язані з програмним забезпеченням </w:t>
      </w:r>
      <w:r>
        <w:rPr>
          <w:rFonts w:eastAsia="Times New Roman" w:cs="Times New Roman"/>
          <w:color w:val="000000"/>
          <w:sz w:val="26"/>
          <w:szCs w:val="26"/>
        </w:rPr>
        <w:t xml:space="preserve">та застосування під час здійснення </w:t>
      </w:r>
      <w:r>
        <w:rPr>
          <w:rFonts w:eastAsia="Times New Roman" w:cs="Times New Roman"/>
          <w:b/>
          <w:i/>
          <w:color w:val="000000"/>
          <w:sz w:val="26"/>
          <w:szCs w:val="26"/>
        </w:rPr>
        <w:t xml:space="preserve">Закупівлі,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>як виняток, п</w:t>
      </w:r>
      <w:r>
        <w:rPr>
          <w:rFonts w:eastAsia="Times New Roman" w:cs="Times New Roman"/>
          <w:color w:val="000000"/>
          <w:sz w:val="26"/>
          <w:szCs w:val="26"/>
        </w:rPr>
        <w:t>ідстав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 w:cs="Times New Roman"/>
          <w:color w:val="000000"/>
          <w:sz w:val="26"/>
          <w:szCs w:val="26"/>
        </w:rPr>
        <w:t xml:space="preserve"> за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підпунктом 6 пункту 13 </w:t>
      </w:r>
      <w:r>
        <w:rPr>
          <w:rFonts w:eastAsia="Times New Roman" w:cs="Times New Roman"/>
          <w:b/>
          <w:i/>
          <w:color w:val="000000"/>
          <w:sz w:val="26"/>
          <w:szCs w:val="26"/>
        </w:rPr>
        <w:t>Особливостей</w:t>
      </w:r>
      <w:r>
        <w:rPr>
          <w:rFonts w:eastAsia="Times New Roman" w:cs="Times New Roman"/>
          <w:color w:val="000000"/>
          <w:sz w:val="26"/>
          <w:szCs w:val="26"/>
        </w:rPr>
        <w:t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</w:t>
      </w:r>
      <w:r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i/>
          <w:sz w:val="26"/>
          <w:szCs w:val="26"/>
          <w:highlight w:val="white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документації,</w:t>
      </w:r>
      <w:r>
        <w:rPr>
          <w:rFonts w:eastAsia="Times New Roman" w:cs="Times New Roman"/>
          <w:i/>
          <w:sz w:val="26"/>
          <w:szCs w:val="26"/>
        </w:rPr>
        <w:t xml:space="preserve"> </w:t>
      </w:r>
      <w:r>
        <w:rPr>
          <w:rFonts w:eastAsia="Times New Roman" w:cs="Times New Roman"/>
          <w:i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>і укладення договору.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:rsidR="00471550" w:rsidRDefault="00471550" w:rsidP="00471550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  <w:highlight w:val="white"/>
        </w:rPr>
      </w:pPr>
      <w:r>
        <w:rPr>
          <w:rFonts w:eastAsia="Times New Roman" w:cs="Times New Roman"/>
          <w:sz w:val="26"/>
          <w:szCs w:val="26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eastAsia="Times New Roman" w:cs="Times New Roman"/>
          <w:sz w:val="26"/>
          <w:szCs w:val="26"/>
          <w:highlight w:val="white"/>
          <w:vertAlign w:val="superscript"/>
        </w:rPr>
        <w:t>8</w:t>
      </w:r>
      <w:r>
        <w:rPr>
          <w:rFonts w:eastAsia="Times New Roman" w:cs="Times New Roman"/>
          <w:sz w:val="26"/>
          <w:szCs w:val="26"/>
          <w:highlight w:val="white"/>
        </w:rPr>
        <w:t xml:space="preserve"> розділу Х «Прикінцеві та перехідні положення» Закону.</w:t>
      </w:r>
    </w:p>
    <w:p w:rsidR="00471550" w:rsidRDefault="00471550" w:rsidP="00471550">
      <w:pPr>
        <w:ind w:firstLine="709"/>
        <w:jc w:val="both"/>
        <w:rPr>
          <w:rFonts w:eastAsia="Times New Roman" w:cs="Times New Roman"/>
          <w:strike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lastRenderedPageBreak/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eastAsia="Times New Roman" w:cs="Times New Roman"/>
          <w:b/>
          <w:color w:val="000000"/>
          <w:sz w:val="26"/>
          <w:szCs w:val="26"/>
        </w:rPr>
        <w:t>пункту 13 Особливостей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у формі цього файлу «Обґрунтування підстави».</w:t>
      </w:r>
    </w:p>
    <w:p w:rsidR="00471550" w:rsidRDefault="00471550" w:rsidP="00471550">
      <w:pPr>
        <w:ind w:firstLine="709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:rsidR="00471550" w:rsidRDefault="00471550" w:rsidP="00471550">
      <w:pPr>
        <w:jc w:val="both"/>
        <w:rPr>
          <w:rFonts w:eastAsia="Times New Roman" w:cs="Times New Roman"/>
          <w:b/>
          <w:color w:val="000000"/>
          <w:sz w:val="26"/>
          <w:szCs w:val="26"/>
        </w:rPr>
      </w:pPr>
    </w:p>
    <w:p w:rsidR="00471550" w:rsidRDefault="00471550" w:rsidP="00471550">
      <w:pPr>
        <w:ind w:firstLine="56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Звіт про результати проведення процедури закупівлі( ID оголошення - UA-2025-03-10-011011-а) на 3 арк. в 1 прим. (електронний вигляд</w:t>
      </w:r>
      <w:r>
        <w:rPr>
          <w:sz w:val="26"/>
          <w:szCs w:val="26"/>
        </w:rPr>
        <w:t>).</w:t>
      </w:r>
    </w:p>
    <w:p w:rsidR="004403BD" w:rsidRDefault="004403BD" w:rsidP="004403BD">
      <w:pPr>
        <w:widowControl w:val="0"/>
        <w:ind w:firstLine="720"/>
        <w:jc w:val="center"/>
        <w:rPr>
          <w:sz w:val="24"/>
          <w:szCs w:val="24"/>
        </w:rPr>
      </w:pPr>
    </w:p>
    <w:p w:rsidR="004403BD" w:rsidRPr="004403BD" w:rsidRDefault="004403BD" w:rsidP="004403BD">
      <w:pPr>
        <w:widowControl w:val="0"/>
        <w:ind w:firstLine="720"/>
        <w:jc w:val="center"/>
        <w:rPr>
          <w:sz w:val="24"/>
          <w:szCs w:val="24"/>
        </w:rPr>
      </w:pPr>
      <w:r w:rsidRPr="004403BD">
        <w:rPr>
          <w:sz w:val="24"/>
          <w:szCs w:val="24"/>
        </w:rPr>
        <w:t>ТЕХНІЧНІ ВИМОГИ НАДАННЯ ПОСЛУГ</w:t>
      </w:r>
    </w:p>
    <w:p w:rsidR="004403BD" w:rsidRPr="004403BD" w:rsidRDefault="004403BD" w:rsidP="004403BD">
      <w:pPr>
        <w:widowControl w:val="0"/>
        <w:tabs>
          <w:tab w:val="left" w:pos="1134"/>
        </w:tabs>
        <w:rPr>
          <w:sz w:val="24"/>
          <w:szCs w:val="24"/>
        </w:rPr>
      </w:pPr>
    </w:p>
    <w:p w:rsidR="004403BD" w:rsidRPr="004403BD" w:rsidRDefault="004403BD" w:rsidP="004403BD">
      <w:pPr>
        <w:pStyle w:val="a4"/>
        <w:widowControl w:val="0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403BD">
        <w:rPr>
          <w:sz w:val="24"/>
          <w:szCs w:val="24"/>
        </w:rPr>
        <w:t>Виконавець повинен здійснити постачання оновлень поточної версії програмного забезпечення (права на отримання оновлень програмного забезпечення та нової версії програмного забезпечення) шляхом надання Виконавцем доступу Замовнику до ресурсу (серверу) в мережі Інтернет, на якому розміщуються оновлення програмного забезпечення. Разом з оновленням на ресурсах виконавця має бути наявним список змін, що відбулися в програмному забезпечення (далі – ПЗ).</w:t>
      </w:r>
    </w:p>
    <w:p w:rsidR="004403BD" w:rsidRPr="004403BD" w:rsidRDefault="004403BD" w:rsidP="004403BD">
      <w:pPr>
        <w:widowControl w:val="0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4403BD">
        <w:rPr>
          <w:sz w:val="24"/>
          <w:szCs w:val="24"/>
        </w:rPr>
        <w:t>При цьому враховується, що оновлення алгоритму проведення розрахунків в ПЗ здійснюється не пізніше 10 робочих днів з дня набрання чинності відповідних змін в законодавстві.</w:t>
      </w:r>
    </w:p>
    <w:p w:rsidR="004403BD" w:rsidRPr="004403BD" w:rsidRDefault="004403BD" w:rsidP="004403BD">
      <w:pPr>
        <w:pStyle w:val="a4"/>
        <w:widowControl w:val="0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403BD">
        <w:rPr>
          <w:sz w:val="24"/>
          <w:szCs w:val="24"/>
        </w:rPr>
        <w:t xml:space="preserve">2. Якість послуг повинна відповідати </w:t>
      </w:r>
      <w:r w:rsidRPr="004403BD">
        <w:rPr>
          <w:sz w:val="24"/>
          <w:szCs w:val="24"/>
          <w:shd w:val="clear" w:color="auto" w:fill="FFFFFF"/>
        </w:rPr>
        <w:t>умовам Договору та Технічним вимогам надання Послуг</w:t>
      </w:r>
      <w:r w:rsidRPr="004403BD">
        <w:rPr>
          <w:sz w:val="24"/>
          <w:szCs w:val="24"/>
        </w:rPr>
        <w:t>.</w:t>
      </w:r>
    </w:p>
    <w:p w:rsidR="004403BD" w:rsidRPr="004403BD" w:rsidRDefault="004403BD" w:rsidP="004403BD">
      <w:pPr>
        <w:pStyle w:val="a4"/>
        <w:widowControl w:val="0"/>
        <w:tabs>
          <w:tab w:val="left" w:pos="1134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4403BD">
        <w:rPr>
          <w:sz w:val="24"/>
          <w:szCs w:val="24"/>
        </w:rPr>
        <w:t>Якість оновлень ПЗ п</w:t>
      </w:r>
      <w:r w:rsidRPr="004403BD">
        <w:rPr>
          <w:sz w:val="24"/>
          <w:szCs w:val="24"/>
          <w:shd w:val="clear" w:color="auto" w:fill="FFFFFF"/>
        </w:rPr>
        <w:t>овинна відповідати вимогам, що зазвичай пред’являються до даного виду продукції, та встановленим показникам якості відповідно до діючих в Україні національних стандартів (зокрема: ДСТУ ISO/IEC/IEEE 12207:2018 (ISO/IEC/IEEE 12207:2017, IDT) «Інженерія систем і програмних засобів. Процеси життєвого циклу програмних засобів»; ДСТУ ISO/IEC 14764:2014 «Інженерія програмного забезпечення. Процеси життєвого циклу програмного забезпечення. Технічне обслуговування» (ISO/IEC 14764:2006, IDT); ДСТУ ISO/IEC/IEEE 15288:2016 (ISO/IEC/IEEE 15288:2015, IDT) «Інженерія систем і програмного забезпечення. Процеси життєвого циклу систем»), технічних умов, нормативно-правових актів, інших нормативно-технічних документів, які встановлюють вимоги до показників якості такого роду/виду послуги, та повинна забезпечувати належне використання ПЗ за його функціональним призначенням, а також відповідно до умов Договору та Технічних вимог надання Послуг.</w:t>
      </w:r>
    </w:p>
    <w:p w:rsidR="004403BD" w:rsidRPr="004403BD" w:rsidRDefault="004403BD" w:rsidP="004403BD">
      <w:pPr>
        <w:pStyle w:val="a4"/>
        <w:widowControl w:val="0"/>
        <w:tabs>
          <w:tab w:val="left" w:pos="851"/>
        </w:tabs>
        <w:ind w:left="0" w:firstLine="567"/>
        <w:jc w:val="both"/>
        <w:rPr>
          <w:sz w:val="24"/>
          <w:szCs w:val="24"/>
          <w:shd w:val="clear" w:color="auto" w:fill="FFFFFF"/>
        </w:rPr>
      </w:pPr>
      <w:r w:rsidRPr="004403BD">
        <w:rPr>
          <w:sz w:val="24"/>
          <w:szCs w:val="24"/>
          <w:shd w:val="clear" w:color="auto" w:fill="FFFFFF"/>
        </w:rPr>
        <w:t>3. Виконавець відповідає за неналежне функціонування ПЗ, а саме збій, що призвів до аварійного завершення функціонування ПЗ або до його некоректного функціонування, що виникло з незалежних від Замовника причин протягом гарантійного строку (далі – гарантійний випадок).</w:t>
      </w:r>
    </w:p>
    <w:p w:rsidR="004403BD" w:rsidRPr="004403BD" w:rsidRDefault="004403BD" w:rsidP="004403BD">
      <w:pPr>
        <w:tabs>
          <w:tab w:val="left" w:pos="1134"/>
        </w:tabs>
        <w:ind w:firstLine="560"/>
        <w:jc w:val="both"/>
        <w:rPr>
          <w:sz w:val="24"/>
          <w:szCs w:val="24"/>
          <w:shd w:val="clear" w:color="auto" w:fill="FFFFFF"/>
        </w:rPr>
      </w:pPr>
      <w:r w:rsidRPr="004403BD">
        <w:rPr>
          <w:sz w:val="24"/>
          <w:szCs w:val="24"/>
          <w:shd w:val="clear" w:color="auto" w:fill="FFFFFF"/>
        </w:rPr>
        <w:t>Гарантійний строк починається з дня підписання Сторонами відповідного Акта та діє протягом 6 (шести) місяців.</w:t>
      </w:r>
    </w:p>
    <w:p w:rsidR="004403BD" w:rsidRPr="004403BD" w:rsidRDefault="004403BD" w:rsidP="004403BD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403BD">
        <w:rPr>
          <w:sz w:val="24"/>
          <w:szCs w:val="24"/>
          <w:shd w:val="clear" w:color="auto" w:fill="FFFFFF"/>
        </w:rPr>
        <w:t xml:space="preserve">Виконавець протягом гарантійного строку зобов’язаний: відслідковувати звернення уповноважених осіб Замовника (зокрема адміністраторів АСАОД) щодо усунення гарантійних випадків, що надійшли на адресу електронної пошти Виконавця, що вказана у Договорі та забезпечити зворотній зв’язок з уповноваженими особами Замовника; призначати відповідальних осіб за усунення гарантійних випадків; реагувати на звернення уповноважених осіб Замовника щодо усунення гарантійних випадків і виправляти їх </w:t>
      </w:r>
      <w:r w:rsidRPr="004403BD">
        <w:rPr>
          <w:sz w:val="24"/>
          <w:szCs w:val="24"/>
        </w:rPr>
        <w:t>у строк не більше 10 робочих днів або в інший погоджений сторонами строк.</w:t>
      </w:r>
    </w:p>
    <w:p w:rsidR="004403BD" w:rsidRPr="004403BD" w:rsidRDefault="004403BD" w:rsidP="004403BD">
      <w:pPr>
        <w:tabs>
          <w:tab w:val="left" w:pos="1134"/>
        </w:tabs>
        <w:ind w:firstLine="560"/>
        <w:jc w:val="both"/>
        <w:rPr>
          <w:sz w:val="24"/>
          <w:szCs w:val="24"/>
          <w:shd w:val="clear" w:color="auto" w:fill="FFFFFF"/>
        </w:rPr>
      </w:pPr>
    </w:p>
    <w:p w:rsidR="00307378" w:rsidRDefault="00307378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307378" w:rsidSect="00471550">
      <w:headerReference w:type="default" r:id="rId10"/>
      <w:pgSz w:w="11906" w:h="16838"/>
      <w:pgMar w:top="284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E8C">
          <w:rPr>
            <w:noProof/>
          </w:rPr>
          <w:t>4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217" w:hanging="465"/>
      </w:pPr>
    </w:lvl>
    <w:lvl w:ilvl="2">
      <w:start w:val="1"/>
      <w:numFmt w:val="decimal"/>
      <w:lvlText w:val="%1.%2.%3."/>
      <w:lvlJc w:val="left"/>
      <w:pPr>
        <w:ind w:left="4671" w:hanging="720"/>
      </w:pPr>
    </w:lvl>
    <w:lvl w:ilvl="3">
      <w:start w:val="1"/>
      <w:numFmt w:val="decimal"/>
      <w:lvlText w:val="%1.%2.%3.%4."/>
      <w:lvlJc w:val="left"/>
      <w:pPr>
        <w:ind w:left="5016" w:hanging="720"/>
      </w:pPr>
    </w:lvl>
    <w:lvl w:ilvl="4">
      <w:start w:val="1"/>
      <w:numFmt w:val="decimal"/>
      <w:lvlText w:val="%1.%2.%3.%4.%5."/>
      <w:lvlJc w:val="left"/>
      <w:pPr>
        <w:ind w:left="5721" w:hanging="1080"/>
      </w:pPr>
    </w:lvl>
    <w:lvl w:ilvl="5">
      <w:start w:val="1"/>
      <w:numFmt w:val="decimal"/>
      <w:lvlText w:val="%1.%2.%3.%4.%5.%6."/>
      <w:lvlJc w:val="left"/>
      <w:pPr>
        <w:ind w:left="6066" w:hanging="1080"/>
      </w:pPr>
    </w:lvl>
    <w:lvl w:ilvl="6">
      <w:start w:val="1"/>
      <w:numFmt w:val="decimal"/>
      <w:lvlText w:val="%1.%2.%3.%4.%5.%6.%7."/>
      <w:lvlJc w:val="left"/>
      <w:pPr>
        <w:ind w:left="6771" w:hanging="1440"/>
      </w:pPr>
    </w:lvl>
    <w:lvl w:ilvl="7">
      <w:start w:val="1"/>
      <w:numFmt w:val="decimal"/>
      <w:lvlText w:val="%1.%2.%3.%4.%5.%6.%7.%8."/>
      <w:lvlJc w:val="left"/>
      <w:pPr>
        <w:ind w:left="7116" w:hanging="1440"/>
      </w:pPr>
    </w:lvl>
    <w:lvl w:ilvl="8">
      <w:start w:val="1"/>
      <w:numFmt w:val="decimal"/>
      <w:lvlText w:val="%1.%2.%3.%4.%5.%6.%7.%8.%9."/>
      <w:lvlJc w:val="left"/>
      <w:pPr>
        <w:ind w:left="7821" w:hanging="1800"/>
      </w:p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395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-709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-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-709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3"/>
        </w:tabs>
        <w:ind w:left="-709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26"/>
        </w:tabs>
        <w:ind w:left="-709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10"/>
        </w:tabs>
        <w:ind w:left="-709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-709" w:firstLine="709"/>
      </w:pPr>
      <w:rPr>
        <w:rFonts w:hint="default"/>
      </w:rPr>
    </w:lvl>
  </w:abstractNum>
  <w:abstractNum w:abstractNumId="5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18"/>
  </w:num>
  <w:num w:numId="8">
    <w:abstractNumId w:val="13"/>
  </w:num>
  <w:num w:numId="9">
    <w:abstractNumId w:val="12"/>
  </w:num>
  <w:num w:numId="10">
    <w:abstractNumId w:val="25"/>
  </w:num>
  <w:num w:numId="11">
    <w:abstractNumId w:val="15"/>
  </w:num>
  <w:num w:numId="12">
    <w:abstractNumId w:val="22"/>
  </w:num>
  <w:num w:numId="13">
    <w:abstractNumId w:val="2"/>
  </w:num>
  <w:num w:numId="14">
    <w:abstractNumId w:val="11"/>
  </w:num>
  <w:num w:numId="15">
    <w:abstractNumId w:val="20"/>
  </w:num>
  <w:num w:numId="16">
    <w:abstractNumId w:val="1"/>
  </w:num>
  <w:num w:numId="17">
    <w:abstractNumId w:val="16"/>
  </w:num>
  <w:num w:numId="18">
    <w:abstractNumId w:val="28"/>
  </w:num>
  <w:num w:numId="19">
    <w:abstractNumId w:val="17"/>
  </w:num>
  <w:num w:numId="20">
    <w:abstractNumId w:val="10"/>
  </w:num>
  <w:num w:numId="21">
    <w:abstractNumId w:val="9"/>
  </w:num>
  <w:num w:numId="22">
    <w:abstractNumId w:val="23"/>
  </w:num>
  <w:num w:numId="23">
    <w:abstractNumId w:val="21"/>
  </w:num>
  <w:num w:numId="24">
    <w:abstractNumId w:val="7"/>
  </w:num>
  <w:num w:numId="25">
    <w:abstractNumId w:val="5"/>
  </w:num>
  <w:num w:numId="26">
    <w:abstractNumId w:val="26"/>
  </w:num>
  <w:num w:numId="27">
    <w:abstractNumId w:val="8"/>
  </w:num>
  <w:num w:numId="28">
    <w:abstractNumId w:val="19"/>
  </w:num>
  <w:num w:numId="29">
    <w:abstractNumId w:val="5"/>
  </w:num>
  <w:num w:numId="30">
    <w:abstractNumId w:val="8"/>
  </w:num>
  <w:num w:numId="31">
    <w:abstractNumId w:val="26"/>
  </w:num>
  <w:num w:numId="32">
    <w:abstractNumId w:val="19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D381F"/>
    <w:rsid w:val="00307378"/>
    <w:rsid w:val="0033663D"/>
    <w:rsid w:val="00402568"/>
    <w:rsid w:val="004403BD"/>
    <w:rsid w:val="00464A76"/>
    <w:rsid w:val="00471550"/>
    <w:rsid w:val="00534801"/>
    <w:rsid w:val="005527AD"/>
    <w:rsid w:val="0055505C"/>
    <w:rsid w:val="006F557D"/>
    <w:rsid w:val="00710917"/>
    <w:rsid w:val="007329CB"/>
    <w:rsid w:val="00733068"/>
    <w:rsid w:val="007E48A6"/>
    <w:rsid w:val="008274CA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D27E5"/>
    <w:rsid w:val="00EE391C"/>
    <w:rsid w:val="00F85FDD"/>
    <w:rsid w:val="00FB3E8C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C4B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99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4/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1643</Words>
  <Characters>11328</Characters>
  <Application>Microsoft Office Word</Application>
  <DocSecurity>0</DocSecurity>
  <Lines>195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41</cp:revision>
  <cp:lastPrinted>2025-04-09T10:48:00Z</cp:lastPrinted>
  <dcterms:created xsi:type="dcterms:W3CDTF">2024-04-11T08:32:00Z</dcterms:created>
  <dcterms:modified xsi:type="dcterms:W3CDTF">2025-04-09T10:48:00Z</dcterms:modified>
</cp:coreProperties>
</file>