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F8" w:rsidRPr="008B187B" w:rsidRDefault="00B138F8" w:rsidP="00B138F8">
      <w:pPr>
        <w:keepNext/>
        <w:spacing w:before="120"/>
        <w:jc w:val="center"/>
        <w:rPr>
          <w:b/>
          <w:bCs/>
          <w:szCs w:val="28"/>
          <w:u w:color="000000"/>
          <w:lang w:eastAsia="ru-RU"/>
        </w:rPr>
      </w:pPr>
      <w:r w:rsidRPr="00140A76">
        <w:rPr>
          <w:noProof/>
          <w:sz w:val="26"/>
        </w:rPr>
        <w:drawing>
          <wp:inline distT="0" distB="0" distL="0" distR="0" wp14:anchorId="3029CD9E" wp14:editId="4EC1F5BF">
            <wp:extent cx="716915" cy="95123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F8" w:rsidRPr="008B187B" w:rsidRDefault="00B138F8" w:rsidP="00B138F8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ДЕРЖАВНА МИТНА СЛУЖБА УКРАЇНИ</w:t>
      </w:r>
    </w:p>
    <w:p w:rsidR="00B138F8" w:rsidRPr="008B187B" w:rsidRDefault="00B138F8" w:rsidP="00B138F8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АВТОРИЗАЦІЯ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тимчасового ввезення*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79"/>
        <w:gridCol w:w="237"/>
        <w:gridCol w:w="1162"/>
        <w:gridCol w:w="910"/>
        <w:gridCol w:w="387"/>
        <w:gridCol w:w="1079"/>
        <w:gridCol w:w="350"/>
        <w:gridCol w:w="562"/>
        <w:gridCol w:w="329"/>
        <w:gridCol w:w="1231"/>
        <w:gridCol w:w="1557"/>
      </w:tblGrid>
      <w:tr w:rsidR="00B138F8" w:rsidRPr="008B187B" w:rsidTr="006305D1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1"/>
              </w:numPr>
              <w:tabs>
                <w:tab w:val="left" w:pos="346"/>
              </w:tabs>
              <w:spacing w:before="60"/>
              <w:ind w:left="30" w:firstLine="0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Номер авторизації</w:t>
            </w:r>
          </w:p>
        </w:tc>
      </w:tr>
      <w:tr w:rsidR="00B138F8" w:rsidRPr="008B187B" w:rsidTr="006305D1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8" w:rsidRPr="008B187B" w:rsidRDefault="00B138F8" w:rsidP="006305D1">
            <w:pPr>
              <w:spacing w:before="60"/>
              <w:ind w:left="3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2. Заявник:</w:t>
            </w:r>
          </w:p>
          <w:p w:rsidR="00B138F8" w:rsidRPr="008B187B" w:rsidRDefault="00B138F8" w:rsidP="006305D1">
            <w:pPr>
              <w:spacing w:before="60"/>
              <w:ind w:left="426" w:hanging="3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1) найменування </w:t>
            </w:r>
          </w:p>
          <w:p w:rsidR="00B138F8" w:rsidRPr="008B187B" w:rsidRDefault="00B138F8" w:rsidP="006305D1">
            <w:pPr>
              <w:spacing w:before="60"/>
              <w:ind w:left="426" w:hanging="3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місцезнаходження </w:t>
            </w:r>
          </w:p>
          <w:p w:rsidR="00B138F8" w:rsidRPr="008B187B" w:rsidRDefault="00B138F8" w:rsidP="006305D1">
            <w:pPr>
              <w:spacing w:before="60"/>
              <w:ind w:left="426" w:hanging="3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B138F8" w:rsidRPr="008B187B" w:rsidRDefault="00B138F8" w:rsidP="006305D1">
            <w:pPr>
              <w:spacing w:before="60"/>
              <w:ind w:left="27" w:firstLine="39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B138F8" w:rsidRPr="008B187B" w:rsidRDefault="00B138F8" w:rsidP="006305D1">
            <w:pPr>
              <w:spacing w:before="60"/>
              <w:ind w:left="426" w:hanging="3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обліковий номер</w:t>
            </w:r>
          </w:p>
        </w:tc>
      </w:tr>
      <w:tr w:rsidR="00B138F8" w:rsidRPr="008B187B" w:rsidTr="006305D1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орган, який прийняв рішення про надання авторизації</w:t>
            </w:r>
          </w:p>
        </w:tc>
      </w:tr>
      <w:tr w:rsidR="00B138F8" w:rsidRPr="008B187B" w:rsidTr="006305D1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Дата, з якої авторизація набирає чинності</w:t>
            </w:r>
          </w:p>
        </w:tc>
      </w:tr>
      <w:tr w:rsidR="00B138F8" w:rsidRPr="008B187B" w:rsidTr="006305D1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Строк дії авторизації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буде розпочато операцію:</w:t>
            </w:r>
          </w:p>
        </w:tc>
      </w:tr>
      <w:tr w:rsidR="00B138F8" w:rsidRPr="008B187B" w:rsidTr="006305D1">
        <w:trPr>
          <w:trHeight w:val="329"/>
          <w:jc w:val="center"/>
        </w:trPr>
        <w:tc>
          <w:tcPr>
            <w:tcW w:w="27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2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B138F8" w:rsidRPr="008B187B" w:rsidTr="006305D1">
        <w:trPr>
          <w:jc w:val="center"/>
        </w:trPr>
        <w:tc>
          <w:tcPr>
            <w:tcW w:w="27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здійснюватиметься повний цикл операції:</w:t>
            </w:r>
          </w:p>
        </w:tc>
      </w:tr>
      <w:tr w:rsidR="00B138F8" w:rsidRPr="008B187B" w:rsidTr="006305D1">
        <w:trPr>
          <w:jc w:val="center"/>
        </w:trPr>
        <w:tc>
          <w:tcPr>
            <w:tcW w:w="27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2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B138F8" w:rsidRPr="008B187B" w:rsidTr="006305D1">
        <w:trPr>
          <w:jc w:val="center"/>
        </w:trPr>
        <w:tc>
          <w:tcPr>
            <w:tcW w:w="27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Детальна інформація про заплановані операції:</w:t>
            </w:r>
          </w:p>
        </w:tc>
      </w:tr>
      <w:tr w:rsidR="00B138F8" w:rsidRPr="008B187B" w:rsidTr="006305D1">
        <w:trPr>
          <w:jc w:val="center"/>
        </w:trPr>
        <w:tc>
          <w:tcPr>
            <w:tcW w:w="10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Порядковий номер</w:t>
            </w:r>
          </w:p>
        </w:tc>
        <w:tc>
          <w:tcPr>
            <w:tcW w:w="24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592A33" w:rsidRDefault="00B138F8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Опис операції</w:t>
            </w:r>
          </w:p>
        </w:tc>
      </w:tr>
      <w:tr w:rsidR="00B138F8" w:rsidRPr="008B187B" w:rsidTr="006305D1">
        <w:trPr>
          <w:jc w:val="center"/>
        </w:trPr>
        <w:tc>
          <w:tcPr>
            <w:tcW w:w="10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tabs>
                <w:tab w:val="left" w:pos="120"/>
              </w:tabs>
              <w:spacing w:before="60"/>
              <w:ind w:left="457" w:hanging="286"/>
              <w:contextualSpacing/>
              <w:jc w:val="both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Строк для завершення митного режиму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tabs>
                <w:tab w:val="left" w:pos="120"/>
              </w:tabs>
              <w:spacing w:before="60"/>
              <w:ind w:left="457" w:hanging="286"/>
              <w:contextualSpacing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Передача прав та обов’язків:</w:t>
            </w:r>
          </w:p>
          <w:p w:rsidR="00B138F8" w:rsidRPr="008B187B" w:rsidRDefault="00B138F8" w:rsidP="006305D1">
            <w:pPr>
              <w:tabs>
                <w:tab w:val="left" w:pos="120"/>
              </w:tabs>
              <w:spacing w:before="6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B138F8" w:rsidRPr="008B187B" w:rsidTr="006305D1">
        <w:trPr>
          <w:jc w:val="center"/>
        </w:trPr>
        <w:tc>
          <w:tcPr>
            <w:tcW w:w="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F8" w:rsidRPr="008B187B" w:rsidRDefault="00B138F8" w:rsidP="00EA286A">
            <w:pPr>
              <w:spacing w:before="6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підприємства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EA286A">
            <w:pPr>
              <w:spacing w:before="6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Місцезнаходження підприєм</w:t>
            </w:r>
            <w:bookmarkStart w:id="0" w:name="_GoBack"/>
            <w:bookmarkEnd w:id="0"/>
            <w:r w:rsidRPr="008B187B">
              <w:rPr>
                <w:sz w:val="26"/>
                <w:szCs w:val="26"/>
                <w:u w:color="000000"/>
                <w:lang w:eastAsia="ru-RU"/>
              </w:rPr>
              <w:t>ства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</w:tc>
        <w:tc>
          <w:tcPr>
            <w:tcW w:w="12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Права та обов’язки, які передаються відповідно до статті 73</w:t>
            </w:r>
            <w:r w:rsidRPr="008B187B">
              <w:rPr>
                <w:sz w:val="26"/>
                <w:szCs w:val="26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Митного кодексу України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Коментар</w:t>
            </w:r>
          </w:p>
        </w:tc>
      </w:tr>
      <w:tr w:rsidR="00B138F8" w:rsidRPr="008B187B" w:rsidTr="006305D1">
        <w:trPr>
          <w:jc w:val="center"/>
        </w:trPr>
        <w:tc>
          <w:tcPr>
            <w:tcW w:w="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Інформація про товари:</w:t>
            </w:r>
          </w:p>
        </w:tc>
      </w:tr>
      <w:tr w:rsidR="00B138F8" w:rsidRPr="008B187B" w:rsidTr="006305D1">
        <w:trPr>
          <w:jc w:val="center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11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вартість</w:t>
            </w:r>
          </w:p>
        </w:tc>
      </w:tr>
      <w:tr w:rsidR="00B138F8" w:rsidRPr="008B187B" w:rsidTr="006305D1">
        <w:trPr>
          <w:jc w:val="center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Ідентифікація: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зразки, ілюстрації чи технічний опис;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проби;</w:t>
            </w:r>
          </w:p>
          <w:p w:rsidR="00B138F8" w:rsidRPr="008B187B" w:rsidRDefault="00B138F8" w:rsidP="006305D1">
            <w:pPr>
              <w:spacing w:before="60"/>
              <w:ind w:left="144" w:firstLine="63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документальне підтвердження, яке стосується передбачених операцій (такі як контракти, рахунки-проформи, комерційна переписка);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інші засоби ідентифікації; </w:t>
            </w:r>
          </w:p>
          <w:p w:rsidR="00B138F8" w:rsidRPr="008B187B" w:rsidRDefault="00B138F8" w:rsidP="006305D1">
            <w:pPr>
              <w:spacing w:before="6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Переміщення товарів митною територією України відповідно до статті 73</w:t>
            </w:r>
            <w:r w:rsidRPr="008B187B">
              <w:rPr>
                <w:szCs w:val="28"/>
                <w:u w:color="000000"/>
                <w:vertAlign w:val="superscript"/>
              </w:rPr>
              <w:t xml:space="preserve">5 </w:t>
            </w:r>
            <w:r w:rsidRPr="008B187B">
              <w:rPr>
                <w:szCs w:val="28"/>
                <w:u w:color="000000"/>
              </w:rPr>
              <w:t>Митного кодексу України</w:t>
            </w:r>
          </w:p>
          <w:p w:rsidR="00B138F8" w:rsidRPr="008B187B" w:rsidRDefault="00B138F8" w:rsidP="006305D1">
            <w:pPr>
              <w:spacing w:before="60"/>
              <w:ind w:firstLine="210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□ так □ ні</w:t>
            </w:r>
          </w:p>
          <w:p w:rsidR="00B138F8" w:rsidRPr="008B187B" w:rsidRDefault="00B138F8" w:rsidP="006305D1">
            <w:pPr>
              <w:spacing w:after="120"/>
              <w:ind w:firstLine="210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Інформація про переміщення_________</w:t>
            </w:r>
            <w:r>
              <w:rPr>
                <w:szCs w:val="28"/>
                <w:u w:color="000000"/>
              </w:rPr>
              <w:t>___________________________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Неодноразове переміщення товарів через митний кордон України протягом строку дії митного режиму</w:t>
            </w:r>
          </w:p>
          <w:p w:rsidR="00B138F8" w:rsidRPr="008B187B" w:rsidRDefault="00B138F8" w:rsidP="006305D1">
            <w:pPr>
              <w:spacing w:before="60"/>
              <w:ind w:firstLine="210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□ так □ ні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товарів:</w:t>
            </w:r>
          </w:p>
          <w:p w:rsidR="00B138F8" w:rsidRPr="008B187B" w:rsidRDefault="00B138F8" w:rsidP="006305D1">
            <w:pPr>
              <w:spacing w:before="60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B138F8" w:rsidRPr="008B187B" w:rsidTr="006305D1">
        <w:trPr>
          <w:jc w:val="center"/>
        </w:trPr>
        <w:tc>
          <w:tcPr>
            <w:tcW w:w="1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9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B138F8" w:rsidRPr="008B187B" w:rsidTr="006305D1">
        <w:trPr>
          <w:jc w:val="center"/>
        </w:trPr>
        <w:tc>
          <w:tcPr>
            <w:tcW w:w="1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8F8" w:rsidRPr="008B187B" w:rsidRDefault="00B138F8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Додаткова інформація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F8" w:rsidRPr="008B187B" w:rsidRDefault="00B138F8" w:rsidP="00B138F8">
            <w:pPr>
              <w:numPr>
                <w:ilvl w:val="0"/>
                <w:numId w:val="2"/>
              </w:numPr>
              <w:spacing w:before="60"/>
              <w:ind w:left="457" w:hanging="286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Загальні коментарі</w:t>
            </w:r>
          </w:p>
          <w:p w:rsidR="00B138F8" w:rsidRPr="008B187B" w:rsidRDefault="00B138F8" w:rsidP="006305D1">
            <w:pPr>
              <w:spacing w:before="60"/>
              <w:ind w:firstLine="596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Підприємство має дотримуватися умов, визначених в авторизації, а також не допускати випадків невідповідності умовам надання авторизації.</w:t>
            </w:r>
          </w:p>
          <w:p w:rsidR="00B138F8" w:rsidRPr="008B187B" w:rsidRDefault="00B138F8" w:rsidP="006305D1">
            <w:pPr>
              <w:spacing w:before="60"/>
              <w:ind w:firstLine="567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Підприємство зобов’язане інформувати митні органи про всі події та обставини, що можуть впливати або мають вплив на дотримання ним умов щодо поміщення товарів в митний режим.</w:t>
            </w:r>
          </w:p>
        </w:tc>
      </w:tr>
      <w:tr w:rsidR="00B138F8" w:rsidRPr="008B187B" w:rsidTr="006305D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F8" w:rsidRPr="008B187B" w:rsidRDefault="00B138F8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  <w:p w:rsidR="00B138F8" w:rsidRPr="008B187B" w:rsidRDefault="00B138F8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_______________         _____________               _____________________         </w:t>
            </w:r>
          </w:p>
          <w:p w:rsidR="00B138F8" w:rsidRPr="008B187B" w:rsidRDefault="00B138F8" w:rsidP="006305D1">
            <w:pPr>
              <w:rPr>
                <w:sz w:val="20"/>
                <w:u w:color="000000"/>
                <w:lang w:eastAsia="ru-RU"/>
              </w:rPr>
            </w:pPr>
            <w:r w:rsidRPr="008B187B">
              <w:rPr>
                <w:sz w:val="20"/>
                <w:u w:color="000000"/>
                <w:lang w:eastAsia="ru-RU"/>
              </w:rPr>
              <w:t xml:space="preserve">          (дата)                                                 (підпис)                                     (власне ім’я ПРІЗВИЩЕ)</w:t>
            </w:r>
          </w:p>
          <w:p w:rsidR="00B138F8" w:rsidRPr="008B187B" w:rsidRDefault="00B138F8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ab/>
            </w:r>
          </w:p>
        </w:tc>
      </w:tr>
    </w:tbl>
    <w:p w:rsidR="00B138F8" w:rsidRPr="008B187B" w:rsidRDefault="00B138F8" w:rsidP="00B138F8">
      <w:pPr>
        <w:spacing w:before="120"/>
        <w:rPr>
          <w:szCs w:val="28"/>
          <w:u w:color="000000"/>
          <w:lang w:eastAsia="ru-RU"/>
        </w:rPr>
      </w:pPr>
    </w:p>
    <w:p w:rsidR="00B138F8" w:rsidRDefault="00B138F8" w:rsidP="00B138F8">
      <w:pPr>
        <w:spacing w:before="120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___________</w:t>
      </w:r>
    </w:p>
    <w:p w:rsidR="00B138F8" w:rsidRDefault="00B138F8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B138F8" w:rsidRPr="008B187B" w:rsidRDefault="00B138F8" w:rsidP="00B138F8">
      <w:pPr>
        <w:spacing w:before="120"/>
        <w:rPr>
          <w:sz w:val="24"/>
          <w:szCs w:val="24"/>
          <w:u w:color="000000"/>
          <w:lang w:eastAsia="ru-RU"/>
        </w:rPr>
      </w:pPr>
    </w:p>
    <w:p w:rsidR="00B138F8" w:rsidRPr="008B187B" w:rsidRDefault="00B138F8" w:rsidP="00B138F8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 Пояснення до заповнення авторизації для поміщення товарів у митний режим тимчасового ввезення наведено в додатку.</w:t>
      </w:r>
    </w:p>
    <w:p w:rsidR="00B138F8" w:rsidRPr="008B187B" w:rsidRDefault="00B138F8" w:rsidP="00B138F8">
      <w:pPr>
        <w:keepNext/>
        <w:keepLines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авторизації для поміщення товарів у митний режим тимчасового ввезення</w:t>
      </w:r>
    </w:p>
    <w:p w:rsidR="00B138F8" w:rsidRPr="008B187B" w:rsidRDefault="00B138F8" w:rsidP="00B138F8">
      <w:pPr>
        <w:keepNext/>
        <w:keepLines/>
        <w:spacing w:before="120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 xml:space="preserve">ПОЯСНЕННЯ </w:t>
      </w:r>
      <w:r w:rsidRPr="008B187B">
        <w:rPr>
          <w:bCs/>
          <w:szCs w:val="28"/>
          <w:u w:color="000000"/>
          <w:lang w:eastAsia="ru-RU"/>
        </w:rPr>
        <w:br/>
        <w:t xml:space="preserve">до заповнення авторизації </w:t>
      </w:r>
      <w:r w:rsidRPr="008B187B">
        <w:rPr>
          <w:szCs w:val="28"/>
          <w:u w:color="000000"/>
          <w:lang w:eastAsia="ru-RU"/>
        </w:rPr>
        <w:t xml:space="preserve">для </w:t>
      </w:r>
      <w:r w:rsidRPr="008B187B">
        <w:rPr>
          <w:bCs/>
          <w:szCs w:val="28"/>
          <w:u w:color="000000"/>
          <w:lang w:eastAsia="ru-RU"/>
        </w:rPr>
        <w:t>поміщення товарів у митний режим тимчасового ввезення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1. Номер авторизації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реєстраційний номер, який формується згідно з додатком 4 до Порядку проведення митними органами оцінки (повторної оцінки) відповідності підприємства критеріям та/або умовам надання авторизації, затвердженого постановою Кабінету Міністрів України від 27 вересня 2022 р. № 1092 “Деякі питання реалізації положень Митного кодексу України щодо надання авторизації”.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2. Підприємство, якому надано авторизацію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місцезнаходження підприємства відповідно до Єдиного державного реєстру юридичних осіб, фізичних осіб — підприємців та громадських формувань; 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 підприємців — реєстраційний номер облікової картки платника податків;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і відокремлених підрозділів іноземних компаній, організацій — код згідно з ЄДРПОУ;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</w:t>
      </w:r>
      <w:r>
        <w:rPr>
          <w:szCs w:val="28"/>
          <w:u w:color="000000"/>
          <w:lang w:eastAsia="ru-RU"/>
        </w:rPr>
        <w:t xml:space="preserve">ий номер особи, наданий згідно </w:t>
      </w:r>
      <w:r w:rsidRPr="008B187B">
        <w:rPr>
          <w:szCs w:val="28"/>
          <w:u w:color="000000"/>
          <w:lang w:eastAsia="ru-RU"/>
        </w:rPr>
        <w:t>і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статтею 455 Митного кодексу України.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3. Митний орган, який прийняв рішення про надання авторизації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який прийняв рішення про надання авторизації.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4. Дата, з якої авторизація набирає чинності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дата набрання чинності авторизацією для поміщення товарів у митний режим тимчасового ввезення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11</w:t>
      </w:r>
      <w:r w:rsidRPr="008B187B">
        <w:rPr>
          <w:szCs w:val="28"/>
          <w:u w:color="000000"/>
          <w:lang w:eastAsia="ru-RU"/>
        </w:rPr>
        <w:t xml:space="preserve"> Митного </w:t>
      </w:r>
      <w:r w:rsidRPr="008B187B">
        <w:rPr>
          <w:szCs w:val="28"/>
          <w:u w:color="000000"/>
          <w:lang w:eastAsia="ru-RU"/>
        </w:rPr>
        <w:lastRenderedPageBreak/>
        <w:t xml:space="preserve">кодексу України у форматі ДД.ММ.РРРР, де ДД — день, ММ — місяць, РРРР — рік. 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5. Строк дії авторизації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 xml:space="preserve">2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6. Місце, де буде розпочато операцію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місцезнаходження, де буде розпочато операцію;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код митного органу згідно з Класифікатором, в зоні діяльності якого буде розпочато операцію.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7. Місце, де здійснюватиметься повний цикл операції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місцезнаходження, де здійснюватиметься повний цикл операції;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код митного органу</w:t>
      </w:r>
      <w:r w:rsidRPr="008B187B">
        <w:rPr>
          <w:szCs w:val="28"/>
          <w:u w:color="000000"/>
          <w:lang w:eastAsia="ru-RU"/>
        </w:rPr>
        <w:t xml:space="preserve"> згідно з Класифікатором, в зоні діяльності якого буде здійснюватися операція.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8. Детальна інформація про заплановані операції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 порядковий номер, найменування та опис запланованої операції з товарами.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</w:t>
      </w:r>
      <w:r>
        <w:rPr>
          <w:szCs w:val="28"/>
          <w:u w:color="000000"/>
          <w:lang w:eastAsia="ru-RU"/>
        </w:rPr>
        <w:t>і</w:t>
      </w:r>
      <w:r w:rsidRPr="008B187B">
        <w:rPr>
          <w:szCs w:val="28"/>
          <w:u w:color="000000"/>
          <w:lang w:eastAsia="ru-RU"/>
        </w:rPr>
        <w:t xml:space="preserve"> коли передбачається здійснювати ряд операцій з товарами, такі операції зазначаються з урахуванням послідовності їх здійснення.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здійснення операцій з товарами підприємством, якому передано права та обов’язки в межах авторизації, інформація про такі підприємства зазначається у  графі 10 </w:t>
      </w:r>
      <w:r>
        <w:rPr>
          <w:szCs w:val="28"/>
          <w:u w:color="000000"/>
          <w:lang w:eastAsia="ru-RU"/>
        </w:rPr>
        <w:t>такої</w:t>
      </w:r>
      <w:r w:rsidRPr="008B187B">
        <w:rPr>
          <w:szCs w:val="28"/>
          <w:u w:color="000000"/>
          <w:lang w:eastAsia="ru-RU"/>
        </w:rPr>
        <w:t xml:space="preserve"> авторизації.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9. Строк завершення митного режиму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108</w:t>
      </w:r>
      <w:r w:rsidRPr="008B187B">
        <w:rPr>
          <w:szCs w:val="28"/>
          <w:u w:color="000000"/>
          <w:vertAlign w:val="superscript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10. Передача прав та обов’язків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передати права та обов’язки (відповідь “так” або “ні”).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передати іншому підприємству права та обов’язки в межах авторизації, у графі зазначається така інформація: 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підприємства, якому планується передати права та обов’язки в межах авторизації, його місцезнаходження, реєстраційний номер облікової картки платника податків/код згідно з ЄДРПОУ;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опис прав та обов’язків, які планується передати такому підприємству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4</w:t>
      </w:r>
      <w:r w:rsidRPr="008B187B">
        <w:rPr>
          <w:szCs w:val="28"/>
          <w:u w:color="000000"/>
          <w:lang w:eastAsia="ru-RU"/>
        </w:rPr>
        <w:t xml:space="preserve"> Митного кодексу України. 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За необхідності в графі “Коментар” зазначається інформація про інші умови передачі прав та обов’язків.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11. Інформація про товари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bookmarkStart w:id="1" w:name="_Hlk190017073"/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bookmarkEnd w:id="1"/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 xml:space="preserve"> для товарів, для яких буде застосовано умовне повне звільнення від оподаткування митними </w:t>
      </w:r>
      <w:proofErr w:type="spellStart"/>
      <w:r w:rsidRPr="008B187B">
        <w:rPr>
          <w:szCs w:val="28"/>
          <w:u w:color="000000"/>
          <w:lang w:eastAsia="ru-RU"/>
        </w:rPr>
        <w:t>платежами</w:t>
      </w:r>
      <w:proofErr w:type="spellEnd"/>
      <w:r w:rsidRPr="008B187B">
        <w:rPr>
          <w:szCs w:val="28"/>
          <w:u w:color="000000"/>
          <w:lang w:eastAsia="ru-RU"/>
        </w:rPr>
        <w:t xml:space="preserve">, або 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 xml:space="preserve"> для товарів, для яких буде застосовано забезпечення сплати митних платежів або умовне часткове звільнення від оподаткування митними </w:t>
      </w:r>
      <w:proofErr w:type="spellStart"/>
      <w:r w:rsidRPr="008B187B">
        <w:rPr>
          <w:szCs w:val="28"/>
          <w:u w:color="000000"/>
          <w:lang w:eastAsia="ru-RU"/>
        </w:rPr>
        <w:t>платежами</w:t>
      </w:r>
      <w:proofErr w:type="spellEnd"/>
      <w:r w:rsidRPr="008B187B">
        <w:rPr>
          <w:szCs w:val="28"/>
          <w:u w:color="000000"/>
          <w:lang w:eastAsia="ru-RU"/>
        </w:rPr>
        <w:t>), щодо яких підприємство має намір застосовувати митний режим;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інформація для застосування заходів тарифного та нетарифного регулювання, наприклад, інформація про мету переміщення, Додаток до Конвенції про тимчасове ввезення, під який підпадають товари, тощо;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bookmarkStart w:id="2" w:name="_Hlk190017204"/>
      <w:r w:rsidRPr="008B187B">
        <w:rPr>
          <w:szCs w:val="28"/>
          <w:u w:color="000000"/>
          <w:lang w:eastAsia="ru-RU"/>
        </w:rPr>
        <w:t>найменування та опис таких товарів (найменування і звичайний торговельний опис, що дає змогу ідентифікувати та класифікувати товар, наприклад, комплектн</w:t>
      </w:r>
      <w:r>
        <w:rPr>
          <w:szCs w:val="28"/>
          <w:u w:color="000000"/>
          <w:lang w:eastAsia="ru-RU"/>
        </w:rPr>
        <w:t>ість або завершеність (зібраний</w:t>
      </w:r>
      <w:r w:rsidRPr="008B187B">
        <w:rPr>
          <w:szCs w:val="28"/>
          <w:u w:color="000000"/>
          <w:lang w:eastAsia="ru-RU"/>
        </w:rPr>
        <w:t>/не зібраний), кількісний і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bookmarkEnd w:id="2"/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орієнтовна кількість таких товарів у відповідних одиницях вимірювання та їх одиниця вимірювання;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орієнтовна фактурна вартість товарів у </w:t>
      </w:r>
      <w:r>
        <w:rPr>
          <w:szCs w:val="28"/>
          <w:u w:color="000000"/>
          <w:lang w:eastAsia="ru-RU"/>
        </w:rPr>
        <w:t xml:space="preserve">національній </w:t>
      </w:r>
      <w:r w:rsidRPr="008B187B">
        <w:rPr>
          <w:szCs w:val="28"/>
          <w:u w:color="000000"/>
          <w:lang w:eastAsia="ru-RU"/>
        </w:rPr>
        <w:t>валюті України або іноземній валюті і код валюти, зазначеної в документі, який визначає вартість товару.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12. Ідентифікація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або більше із запропонованих варіантів ідентифікації товарів. 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13. Переміщення товарів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 (відповідь “так” або “ні”).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коли підприємство має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України, зазначається інформація про переміщення, а саме місцезнаходження місць на митній території України, між якими заплановано переміщення, а також інша необхідна інформація.</w:t>
      </w:r>
    </w:p>
    <w:p w:rsidR="00B138F8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14. Неодноразове переміщення товарів через митний кордон України протягом строку дії митного режиму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чи надає митний орган підприємству дозвіл на неодноразове переміщення товарів через митний кордон України (відповідь “так” або “ні”).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15. Використання еквівалентних товарів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У графі зазначається, чи має підприємство намір використовувати еквівалентні товари (відповідь “так” або “ні”).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використовувати еквівалентні товари, зазначається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їх найменування, опис, якісні, технічні характеристики, кількість товарів у відповідних одиницях вимірювання та їх одиниця вимірювання.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16. Додаткова інформація</w:t>
      </w:r>
    </w:p>
    <w:p w:rsidR="00B138F8" w:rsidRPr="008B187B" w:rsidRDefault="00B138F8" w:rsidP="00B138F8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інформація та/або документи, які додатково надав заявник.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17. Загальні коментарі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 необхідності зазначається інформація про інші зобов’язання підприємства, що випливають з авторизації та/або для виконання положень, передбачених законодавством України з питань митної справи для завершення відповідного митного режиму.</w:t>
      </w:r>
    </w:p>
    <w:p w:rsidR="00B138F8" w:rsidRPr="008B187B" w:rsidRDefault="00B138F8" w:rsidP="00B138F8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Авторизацію підписує керівник митного органу або уповноважена ним особа, зазначається прізвище та власне ім’я особи, що підписує авторизацію, дата підписання авторизації та печатка такого органу.</w:t>
      </w:r>
      <w:r w:rsidRPr="008B187B">
        <w:rPr>
          <w:bCs/>
          <w:szCs w:val="28"/>
          <w:u w:color="000000"/>
          <w:lang w:eastAsia="ru-RU"/>
        </w:rPr>
        <w:t>”.</w:t>
      </w:r>
      <w:r w:rsidRPr="008B187B">
        <w:rPr>
          <w:szCs w:val="28"/>
          <w:u w:color="000000"/>
          <w:lang w:eastAsia="ru-RU"/>
        </w:rPr>
        <w:t xml:space="preserve"> </w:t>
      </w:r>
    </w:p>
    <w:p w:rsidR="00A36F94" w:rsidRDefault="00A36F94"/>
    <w:sectPr w:rsidR="00A36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221C"/>
    <w:multiLevelType w:val="multilevel"/>
    <w:tmpl w:val="BF36E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E6D631D"/>
    <w:multiLevelType w:val="hybridMultilevel"/>
    <w:tmpl w:val="4594CAA6"/>
    <w:lvl w:ilvl="0" w:tplc="FFFFFFFF">
      <w:start w:val="3"/>
      <w:numFmt w:val="decimal"/>
      <w:lvlText w:val="%1."/>
      <w:lvlJc w:val="left"/>
      <w:pPr>
        <w:ind w:left="39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53"/>
    <w:rsid w:val="000C5E13"/>
    <w:rsid w:val="00A36F94"/>
    <w:rsid w:val="00B138F8"/>
    <w:rsid w:val="00EA286A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AF264-0262-4DF5-979D-4321EAF3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8642</Characters>
  <Application>Microsoft Office Word</Application>
  <DocSecurity>0</DocSecurity>
  <Lines>270</Lines>
  <Paragraphs>141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4</cp:revision>
  <dcterms:created xsi:type="dcterms:W3CDTF">2025-04-18T07:48:00Z</dcterms:created>
  <dcterms:modified xsi:type="dcterms:W3CDTF">2025-04-18T08:29:00Z</dcterms:modified>
</cp:coreProperties>
</file>