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CellMar>
          <w:left w:w="0" w:type="dxa"/>
          <w:right w:w="0" w:type="dxa"/>
        </w:tblCellMar>
        <w:tblLook w:val="05E0" w:firstRow="1" w:lastRow="1" w:firstColumn="1" w:lastColumn="1" w:noHBand="0" w:noVBand="1"/>
      </w:tblPr>
      <w:tblGrid>
        <w:gridCol w:w="5783"/>
        <w:gridCol w:w="3856"/>
      </w:tblGrid>
      <w:tr w:rsidR="002F0B92" w:rsidTr="00BD6613">
        <w:trPr>
          <w:jc w:val="center"/>
        </w:trPr>
        <w:tc>
          <w:tcPr>
            <w:tcW w:w="3000" w:type="pct"/>
            <w:tcMar>
              <w:top w:w="0" w:type="dxa"/>
              <w:left w:w="0" w:type="dxa"/>
              <w:bottom w:w="0" w:type="dxa"/>
              <w:right w:w="0" w:type="dxa"/>
            </w:tcMar>
          </w:tcPr>
          <w:p w:rsidR="002F0B92" w:rsidRDefault="002F0B92" w:rsidP="00BD6613">
            <w:pPr>
              <w:pStyle w:val="rvps14"/>
              <w:spacing w:before="150" w:after="150"/>
              <w:rPr>
                <w:rStyle w:val="spanrvts0"/>
                <w:lang w:val="uk" w:eastAsia="uk"/>
              </w:rPr>
            </w:pPr>
            <w:bookmarkStart w:id="0" w:name="_GoBack"/>
            <w:bookmarkEnd w:id="0"/>
          </w:p>
        </w:tc>
        <w:tc>
          <w:tcPr>
            <w:tcW w:w="2000" w:type="pct"/>
            <w:tcMar>
              <w:top w:w="0" w:type="dxa"/>
              <w:left w:w="0" w:type="dxa"/>
              <w:bottom w:w="0" w:type="dxa"/>
              <w:right w:w="0" w:type="dxa"/>
            </w:tcMar>
            <w:hideMark/>
          </w:tcPr>
          <w:p w:rsidR="002F0B92" w:rsidRDefault="002F0B92" w:rsidP="00BD6613">
            <w:pPr>
              <w:pStyle w:val="rvps14"/>
              <w:spacing w:before="150" w:after="150"/>
              <w:rPr>
                <w:rStyle w:val="spanrvts0"/>
                <w:lang w:val="uk" w:eastAsia="uk"/>
              </w:rPr>
            </w:pPr>
            <w:r>
              <w:rPr>
                <w:rStyle w:val="spanrvts9"/>
                <w:lang w:val="uk" w:eastAsia="uk"/>
              </w:rPr>
              <w:t xml:space="preserve">ЗАТВЕРДЖЕНО </w:t>
            </w:r>
            <w:r>
              <w:rPr>
                <w:rStyle w:val="spanrvts9"/>
                <w:lang w:val="uk" w:eastAsia="uk"/>
              </w:rPr>
              <w:br/>
              <w:t>Наказ Міністерства фінансів України</w:t>
            </w:r>
            <w:r>
              <w:rPr>
                <w:rStyle w:val="spanrvts0"/>
                <w:lang w:val="uk" w:eastAsia="uk"/>
              </w:rPr>
              <w:t xml:space="preserve"> </w:t>
            </w:r>
            <w:r>
              <w:rPr>
                <w:rStyle w:val="spanrvts0"/>
                <w:lang w:val="uk" w:eastAsia="uk"/>
              </w:rPr>
              <w:br/>
            </w:r>
            <w:r>
              <w:rPr>
                <w:rStyle w:val="spanrvts9"/>
                <w:lang w:val="uk" w:eastAsia="uk"/>
              </w:rPr>
              <w:t>20.09.2012 № 1011</w:t>
            </w:r>
          </w:p>
        </w:tc>
      </w:tr>
    </w:tbl>
    <w:p w:rsidR="002F0B92" w:rsidRDefault="002F0B92" w:rsidP="002F0B92">
      <w:pPr>
        <w:pStyle w:val="rvps6"/>
        <w:spacing w:before="300" w:after="450"/>
        <w:ind w:left="450" w:right="450"/>
        <w:rPr>
          <w:rStyle w:val="spanrvts0"/>
          <w:lang w:val="uk" w:eastAsia="uk"/>
        </w:rPr>
      </w:pPr>
      <w:bookmarkStart w:id="1" w:name="n78"/>
      <w:bookmarkEnd w:id="1"/>
      <w:r>
        <w:rPr>
          <w:rStyle w:val="spanrvts23"/>
          <w:lang w:val="uk" w:eastAsia="uk"/>
        </w:rPr>
        <w:t xml:space="preserve">КЛАСИФІКАТОР </w:t>
      </w:r>
      <w:r>
        <w:rPr>
          <w:rStyle w:val="spanrvts23"/>
          <w:lang w:val="uk" w:eastAsia="uk"/>
        </w:rPr>
        <w:br/>
        <w:t>способів розрахунку</w:t>
      </w:r>
    </w:p>
    <w:tbl>
      <w:tblPr>
        <w:tblStyle w:val="articletable"/>
        <w:tblW w:w="5000" w:type="pct"/>
        <w:jc w:val="center"/>
        <w:tblCellMar>
          <w:top w:w="60" w:type="dxa"/>
          <w:left w:w="60" w:type="dxa"/>
          <w:bottom w:w="60" w:type="dxa"/>
          <w:right w:w="60" w:type="dxa"/>
        </w:tblCellMar>
        <w:tblLook w:val="05E0" w:firstRow="1" w:lastRow="1" w:firstColumn="1" w:lastColumn="1" w:noHBand="0" w:noVBand="1"/>
      </w:tblPr>
      <w:tblGrid>
        <w:gridCol w:w="1443"/>
        <w:gridCol w:w="8180"/>
      </w:tblGrid>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bookmarkStart w:id="2" w:name="n79"/>
            <w:bookmarkEnd w:id="2"/>
            <w:r>
              <w:rPr>
                <w:rStyle w:val="spanrvts0"/>
                <w:lang w:val="uk" w:eastAsia="uk"/>
              </w:rPr>
              <w:t>Код способу розрахунку</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Назва</w:t>
            </w:r>
          </w:p>
        </w:tc>
      </w:tr>
      <w:tr w:rsidR="002F0B92" w:rsidTr="00BD6613">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Загальні</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01</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Сплата митних платежів у безготівковій формі через рахунки, відкриті на ім'я митних органів в територіальних органах Державної казначейської служби</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02</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Сплата митних платежів у готівковій формі через касу митного органу або відділення уповноваженого банку</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09</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Сплата митних платежів на підставі податкових повідомлень-рішень, винесених за результатами документальних перевірок дотримання вимог законодавства України з питань митної справи</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15</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Сплата митних платежів у безготівковій формі через рахунки, відкриті на ім'я податкових органів в територіальних органах Державної казначейської служби</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72</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Сплата митних платежів в інший спосіб, передбачений законом</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91</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Відстрочення грошових зобов'язань</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92</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Розстрочення грошових зобов'язань</w:t>
            </w:r>
          </w:p>
        </w:tc>
      </w:tr>
      <w:tr w:rsidR="002F0B92" w:rsidTr="00BD6613">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Способи розрахунку при застосуванні векселів або субсидій</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10</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 xml:space="preserve">Подання податкового векселя у разі ввезення нафтопродуктів з метою використання у хімічній промисловості за кодами 2710 11 11 00, 2710 11 15 00, 2710 11 21 00, 2710 19 11 00, 2710 19 15 00, 2710 19 25 00, 2710 19 29 00 згідно з </w:t>
            </w:r>
            <w:hyperlink r:id="rId4" w:tgtFrame="_blank" w:history="1">
              <w:r>
                <w:rPr>
                  <w:rStyle w:val="arvts96"/>
                  <w:lang w:val="uk" w:eastAsia="uk"/>
                </w:rPr>
                <w:t>УКТ ЗЕД</w:t>
              </w:r>
            </w:hyperlink>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14</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Подання векселя при митному оформленні товарів, що ввозяться в Україну в межах виробничої кооперації</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17</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Вексель на підставі судових рішень</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lastRenderedPageBreak/>
              <w:t>87</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Подання податкового векселя при ввезенні устаткування, обладнання та комплектуючих, що не виробляються в Україні, підприємствами суднобудівної промисловості</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93</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Цільова субсидія на суму ввізного мита для реалізації проектів технологічних парків</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94</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Подання податкового векселя в інших випадках, визначених законом</w:t>
            </w:r>
          </w:p>
        </w:tc>
      </w:tr>
      <w:tr w:rsidR="002F0B92" w:rsidTr="00BD6613">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Способи розрахунку при застосуванні умовного звільнення від оподаткування</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06</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 xml:space="preserve">Сума податку, нарахована умовно, у зв'язку із звільненням від оподаткування, передбаченим </w:t>
            </w:r>
            <w:hyperlink r:id="rId5" w:tgtFrame="_blank" w:history="1">
              <w:r>
                <w:rPr>
                  <w:rStyle w:val="arvts96"/>
                  <w:lang w:val="uk" w:eastAsia="uk"/>
                </w:rPr>
                <w:t>Митним кодексом України</w:t>
              </w:r>
            </w:hyperlink>
            <w:r>
              <w:rPr>
                <w:rStyle w:val="spanrvts0"/>
                <w:lang w:val="uk" w:eastAsia="uk"/>
              </w:rPr>
              <w:t xml:space="preserve">, </w:t>
            </w:r>
            <w:hyperlink r:id="rId6" w:tgtFrame="_blank" w:history="1">
              <w:r>
                <w:rPr>
                  <w:rStyle w:val="arvts96"/>
                  <w:lang w:val="uk" w:eastAsia="uk"/>
                </w:rPr>
                <w:t>Податковим кодексом України</w:t>
              </w:r>
            </w:hyperlink>
            <w:r>
              <w:rPr>
                <w:rStyle w:val="spanrvts0"/>
                <w:lang w:val="uk" w:eastAsia="uk"/>
              </w:rPr>
              <w:t>, іншими законами України та міжнародними договорами, згоду на обов'язковість яких надано Верховною Радою України при поміщенні товарів у митні режими Імпорту (випуск у вільний обіг), експорту</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13</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Звільнення від сплати митних платежів на підставі судових рішень</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28</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Сума податку, розрахована для визначення частки податків (мита та податку на додану вартість), що підлягають сплаті при застосуванні умовного часткового звільнення від оподаткування при поміщенні товарів у режим тимчасового ввезення, або частковому зменшенні ставок податків</w:t>
            </w:r>
          </w:p>
        </w:tc>
      </w:tr>
      <w:tr w:rsidR="002F0B92" w:rsidTr="00BD6613">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Способи розрахунку при застосуванні гарантій</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30</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Забезпечення сплати митних платежів не потрібно</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31</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Банківська гарантія (у разі надання розстрочення сплати митних платежів)</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32</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Грошова застава</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35</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 xml:space="preserve">Забезпечення сплати митних платежів на умовах </w:t>
            </w:r>
            <w:hyperlink r:id="rId7" w:tgtFrame="_blank" w:history="1">
              <w:r>
                <w:rPr>
                  <w:rStyle w:val="arvts96"/>
                  <w:lang w:val="uk" w:eastAsia="uk"/>
                </w:rPr>
                <w:t>Митної конвенції про міжнародне перевезення вантажів із застосуванням книжки МДП (Конвенції МДП) 1975 року</w:t>
              </w:r>
            </w:hyperlink>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38</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 xml:space="preserve">Забезпечення сплати митних платежів на умовах </w:t>
            </w:r>
            <w:hyperlink r:id="rId8" w:tgtFrame="_blank" w:history="1">
              <w:r>
                <w:rPr>
                  <w:rStyle w:val="arvts96"/>
                  <w:lang w:val="uk" w:eastAsia="uk"/>
                </w:rPr>
                <w:t>Конвенції про тимчасове ввезення</w:t>
              </w:r>
            </w:hyperlink>
            <w:r>
              <w:rPr>
                <w:rStyle w:val="spanrvts0"/>
                <w:lang w:val="uk" w:eastAsia="uk"/>
              </w:rPr>
              <w:t xml:space="preserve"> (Стамбул, 1990 рік) із застосуванням книжки (</w:t>
            </w:r>
            <w:proofErr w:type="spellStart"/>
            <w:r>
              <w:rPr>
                <w:rStyle w:val="spanrvts0"/>
                <w:lang w:val="uk" w:eastAsia="uk"/>
              </w:rPr>
              <w:t>карнета</w:t>
            </w:r>
            <w:proofErr w:type="spellEnd"/>
            <w:r>
              <w:rPr>
                <w:rStyle w:val="spanrvts0"/>
                <w:lang w:val="uk" w:eastAsia="uk"/>
              </w:rPr>
              <w:t>) А.Т.А. або книжки (</w:t>
            </w:r>
            <w:proofErr w:type="spellStart"/>
            <w:r>
              <w:rPr>
                <w:rStyle w:val="spanrvts0"/>
                <w:lang w:val="uk" w:eastAsia="uk"/>
              </w:rPr>
              <w:t>карнета</w:t>
            </w:r>
            <w:proofErr w:type="spellEnd"/>
            <w:r>
              <w:rPr>
                <w:rStyle w:val="spanrvts0"/>
                <w:lang w:val="uk" w:eastAsia="uk"/>
              </w:rPr>
              <w:t>) CPD</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40</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Гарантія (індивідуальна, загальна)</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41</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Звільнення від гарантії</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55</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 xml:space="preserve">Різниця між сумами платежів, нарахованими за митною вартістю, визначеною декларантом, і митною вартістю, визначеною митним органом </w:t>
            </w:r>
            <w:r>
              <w:rPr>
                <w:rStyle w:val="spanrvts0"/>
                <w:lang w:val="uk" w:eastAsia="uk"/>
              </w:rPr>
              <w:lastRenderedPageBreak/>
              <w:t xml:space="preserve">(забезпечується шляхом надання митним органам забезпечення сплати митних платежів у способи, встановлені </w:t>
            </w:r>
            <w:hyperlink r:id="rId9" w:anchor="n2555" w:tgtFrame="_blank" w:history="1">
              <w:r>
                <w:rPr>
                  <w:rStyle w:val="arvts96"/>
                  <w:lang w:val="uk" w:eastAsia="uk"/>
                </w:rPr>
                <w:t>статтею 308</w:t>
              </w:r>
            </w:hyperlink>
            <w:r>
              <w:rPr>
                <w:rStyle w:val="spanrvts0"/>
                <w:lang w:val="uk" w:eastAsia="uk"/>
              </w:rPr>
              <w:t xml:space="preserve"> Митного кодексу України)</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lastRenderedPageBreak/>
              <w:t>56</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 xml:space="preserve">Сума, яка забезпечується шляхом надання забезпечення сплати митних платежів при випуску товарів за тимчасовою митною декларацією та розраховується як різниця між сумою податку, визначеною виходячи з найбільшої ставки податку з тих, під які може підпадати товар, та найбільшої величини вартості товарів, що можуть бути визначені на підставі наявних відомостей, та сумою податку, визначеною виходячи з найбільшої ставки податку з тих, під які може підпадати товар, та митної вартості товару, визначеною декларантом або уповноваженою ним особою відповідно до </w:t>
            </w:r>
            <w:hyperlink r:id="rId10" w:anchor="n115" w:tgtFrame="_blank" w:history="1">
              <w:r>
                <w:rPr>
                  <w:rStyle w:val="arvts96"/>
                  <w:lang w:val="uk" w:eastAsia="uk"/>
                </w:rPr>
                <w:t>пункту 29</w:t>
              </w:r>
            </w:hyperlink>
            <w:r>
              <w:rPr>
                <w:rStyle w:val="spanrvts0"/>
                <w:lang w:val="uk" w:eastAsia="uk"/>
              </w:rPr>
              <w:t xml:space="preserve"> Положення про митні декларації, затвердженого постановою Кабінету Міністрів України від 21.05.2012 № 450</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74</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Сума податку, розрахована виходячи з найбільшої величини ставки податку, вартості та/або кількості товарів, що можуть бути визначені на підставі наявних відомостей</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75</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Розрахункова сума забезпечення митних платежів</w:t>
            </w:r>
          </w:p>
        </w:tc>
      </w:tr>
      <w:tr w:rsidR="002F0B92" w:rsidTr="00BD6613">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Способи розрахунку, що застосовуються у разі коригування митної вартості</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60</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Сума податку, що нараховується згідно з митною вартістю, визначеною митним органом</w:t>
            </w:r>
          </w:p>
        </w:tc>
      </w:tr>
      <w:tr w:rsidR="002F0B92" w:rsidTr="00BD6613">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Способи розрахунку, що застосовуються у разі подання додаткової декларації</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70</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Сума податку, що була сплачена за попередньою, тимчасовою, періодичною, додатковою декларацією, або декларацією, заповненою у звичайному порядку</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71</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Сума податку, що нараховується за додатковою декларацією</w:t>
            </w:r>
          </w:p>
        </w:tc>
      </w:tr>
      <w:tr w:rsidR="002F0B92" w:rsidTr="00BD6613">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Способи розрахунку, що застосовуються у разі повернення сум митних платежів</w:t>
            </w:r>
          </w:p>
        </w:tc>
      </w:tr>
      <w:tr w:rsidR="002F0B92" w:rsidTr="00BD6613">
        <w:trPr>
          <w:jc w:val="center"/>
        </w:trPr>
        <w:tc>
          <w:tcPr>
            <w:tcW w:w="7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2"/>
              <w:spacing w:before="150" w:after="150"/>
              <w:rPr>
                <w:rStyle w:val="spanrvts0"/>
                <w:lang w:val="uk" w:eastAsia="uk"/>
              </w:rPr>
            </w:pPr>
            <w:r>
              <w:rPr>
                <w:rStyle w:val="spanrvts0"/>
                <w:lang w:val="uk" w:eastAsia="uk"/>
              </w:rPr>
              <w:t>99</w:t>
            </w:r>
          </w:p>
        </w:tc>
        <w:tc>
          <w:tcPr>
            <w:tcW w:w="4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2F0B92" w:rsidRDefault="002F0B92" w:rsidP="00BD6613">
            <w:pPr>
              <w:pStyle w:val="rvps14"/>
              <w:spacing w:before="150" w:after="150"/>
              <w:rPr>
                <w:rStyle w:val="spanrvts0"/>
                <w:lang w:val="uk" w:eastAsia="uk"/>
              </w:rPr>
            </w:pPr>
            <w:r>
              <w:rPr>
                <w:rStyle w:val="spanrvts0"/>
                <w:lang w:val="uk" w:eastAsia="uk"/>
              </w:rPr>
              <w:t>Сума податку, що підлягає поверненню</w:t>
            </w:r>
          </w:p>
        </w:tc>
      </w:tr>
    </w:tbl>
    <w:p w:rsidR="002F0B92" w:rsidRDefault="002F0B92" w:rsidP="002F0B92">
      <w:pPr>
        <w:pStyle w:val="rvps2"/>
        <w:spacing w:after="150"/>
        <w:rPr>
          <w:rStyle w:val="spanrvts0"/>
          <w:i/>
          <w:iCs/>
          <w:lang w:val="uk" w:eastAsia="uk"/>
        </w:rPr>
      </w:pPr>
      <w:bookmarkStart w:id="3" w:name="n205"/>
      <w:bookmarkEnd w:id="3"/>
      <w:r>
        <w:rPr>
          <w:rStyle w:val="spanrvts46"/>
          <w:lang w:val="uk" w:eastAsia="uk"/>
        </w:rPr>
        <w:t xml:space="preserve">{Класифікатор із змінами, внесеними згідно з Наказами Міністерства фінансів </w:t>
      </w:r>
      <w:hyperlink r:id="rId11" w:anchor="n28" w:tgtFrame="_blank" w:history="1">
        <w:r>
          <w:rPr>
            <w:rStyle w:val="arvts100"/>
            <w:lang w:val="uk" w:eastAsia="uk"/>
          </w:rPr>
          <w:t>№ 541 від 01.06.2018</w:t>
        </w:r>
      </w:hyperlink>
      <w:r>
        <w:rPr>
          <w:rStyle w:val="spanrvts46"/>
          <w:lang w:val="uk" w:eastAsia="uk"/>
        </w:rPr>
        <w:t xml:space="preserve">, </w:t>
      </w:r>
      <w:hyperlink r:id="rId12" w:anchor="n25" w:tgtFrame="_blank" w:history="1">
        <w:r>
          <w:rPr>
            <w:rStyle w:val="arvts100"/>
            <w:lang w:val="uk" w:eastAsia="uk"/>
          </w:rPr>
          <w:t>№ 772 від 20.09.2018</w:t>
        </w:r>
      </w:hyperlink>
      <w:r>
        <w:rPr>
          <w:rStyle w:val="spanrvts11"/>
          <w:lang w:val="uk" w:eastAsia="uk"/>
        </w:rPr>
        <w:t xml:space="preserve">, </w:t>
      </w:r>
      <w:hyperlink r:id="rId13" w:anchor="n708" w:tgtFrame="_blank" w:history="1">
        <w:r>
          <w:rPr>
            <w:rStyle w:val="arvts100"/>
            <w:lang w:val="uk" w:eastAsia="uk"/>
          </w:rPr>
          <w:t>№ 366 від 05.09.2019</w:t>
        </w:r>
      </w:hyperlink>
      <w:r>
        <w:rPr>
          <w:rStyle w:val="spanrvts11"/>
          <w:lang w:val="uk" w:eastAsia="uk"/>
        </w:rPr>
        <w:t xml:space="preserve">, </w:t>
      </w:r>
      <w:hyperlink r:id="rId14" w:anchor="n25" w:tgtFrame="_blank" w:history="1">
        <w:r>
          <w:rPr>
            <w:rStyle w:val="arvts100"/>
            <w:lang w:val="uk" w:eastAsia="uk"/>
          </w:rPr>
          <w:t>№ 301 від 26.09.2022</w:t>
        </w:r>
      </w:hyperlink>
      <w:r>
        <w:rPr>
          <w:rStyle w:val="spanrvts46"/>
          <w:lang w:val="uk" w:eastAsia="uk"/>
        </w:rPr>
        <w:t xml:space="preserve"> - зміна набирає чинності 11.10.2022. Див. пункт </w:t>
      </w:r>
      <w:hyperlink r:id="rId15" w:anchor="n9" w:tgtFrame="_blank" w:history="1">
        <w:r>
          <w:rPr>
            <w:rStyle w:val="arvts100"/>
            <w:lang w:val="uk" w:eastAsia="uk"/>
          </w:rPr>
          <w:t>3</w:t>
        </w:r>
      </w:hyperlink>
      <w:r>
        <w:rPr>
          <w:rStyle w:val="spanrvts46"/>
          <w:lang w:val="uk" w:eastAsia="uk"/>
        </w:rPr>
        <w:t xml:space="preserve"> Наказу,</w:t>
      </w:r>
      <w:r>
        <w:rPr>
          <w:rStyle w:val="spanrvts11"/>
          <w:lang w:val="uk" w:eastAsia="uk"/>
        </w:rPr>
        <w:t xml:space="preserve"> </w:t>
      </w:r>
      <w:hyperlink r:id="rId16" w:anchor="n5" w:tgtFrame="_blank" w:history="1">
        <w:r>
          <w:rPr>
            <w:rStyle w:val="arvts100"/>
            <w:lang w:val="uk" w:eastAsia="uk"/>
          </w:rPr>
          <w:t>№ 314 від 03.10.2022</w:t>
        </w:r>
      </w:hyperlink>
      <w:r>
        <w:rPr>
          <w:rStyle w:val="spanrvts11"/>
          <w:lang w:val="uk" w:eastAsia="uk"/>
        </w:rPr>
        <w:t xml:space="preserve">, </w:t>
      </w:r>
      <w:hyperlink r:id="rId17" w:anchor="n5" w:tgtFrame="_blank" w:history="1">
        <w:r>
          <w:rPr>
            <w:rStyle w:val="arvts100"/>
            <w:lang w:val="uk" w:eastAsia="uk"/>
          </w:rPr>
          <w:t>№ 122 від 26.02.2025</w:t>
        </w:r>
      </w:hyperlink>
      <w:r>
        <w:rPr>
          <w:rStyle w:val="spanrvts11"/>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048"/>
        <w:gridCol w:w="5591"/>
      </w:tblGrid>
      <w:tr w:rsidR="002F0B92" w:rsidTr="00BD6613">
        <w:trPr>
          <w:jc w:val="center"/>
        </w:trPr>
        <w:tc>
          <w:tcPr>
            <w:tcW w:w="2100" w:type="pct"/>
            <w:tcMar>
              <w:top w:w="0" w:type="dxa"/>
              <w:left w:w="0" w:type="dxa"/>
              <w:bottom w:w="0" w:type="dxa"/>
              <w:right w:w="0" w:type="dxa"/>
            </w:tcMar>
            <w:hideMark/>
          </w:tcPr>
          <w:p w:rsidR="002F0B92" w:rsidRDefault="002F0B92" w:rsidP="00BD6613">
            <w:pPr>
              <w:pStyle w:val="rvps4"/>
              <w:spacing w:before="300" w:after="150"/>
              <w:rPr>
                <w:rStyle w:val="spanrvts0"/>
                <w:lang w:val="uk" w:eastAsia="uk"/>
              </w:rPr>
            </w:pPr>
            <w:bookmarkStart w:id="4" w:name="n80"/>
            <w:bookmarkEnd w:id="4"/>
            <w:r>
              <w:rPr>
                <w:rStyle w:val="spanrvts44"/>
                <w:lang w:val="uk" w:eastAsia="uk"/>
              </w:rPr>
              <w:t xml:space="preserve">Директор Департаменту </w:t>
            </w:r>
            <w:r>
              <w:rPr>
                <w:rStyle w:val="spanrvts44"/>
                <w:lang w:val="uk" w:eastAsia="uk"/>
              </w:rPr>
              <w:br/>
              <w:t xml:space="preserve">податкової, митної </w:t>
            </w:r>
            <w:r>
              <w:rPr>
                <w:rStyle w:val="spanrvts44"/>
                <w:lang w:val="uk" w:eastAsia="uk"/>
              </w:rPr>
              <w:br/>
              <w:t xml:space="preserve">політики та методології </w:t>
            </w:r>
            <w:r>
              <w:rPr>
                <w:rStyle w:val="spanrvts44"/>
                <w:lang w:val="uk" w:eastAsia="uk"/>
              </w:rPr>
              <w:br/>
              <w:t>бухгалтерського обліку</w:t>
            </w:r>
          </w:p>
        </w:tc>
        <w:tc>
          <w:tcPr>
            <w:tcW w:w="3500" w:type="pct"/>
            <w:tcMar>
              <w:top w:w="0" w:type="dxa"/>
              <w:left w:w="0" w:type="dxa"/>
              <w:bottom w:w="0" w:type="dxa"/>
              <w:right w:w="0" w:type="dxa"/>
            </w:tcMar>
            <w:hideMark/>
          </w:tcPr>
          <w:p w:rsidR="002F0B92" w:rsidRDefault="002F0B92" w:rsidP="00BD6613">
            <w:pPr>
              <w:pStyle w:val="rvps15"/>
              <w:spacing w:before="300"/>
              <w:rPr>
                <w:rStyle w:val="spanrvts0"/>
                <w:lang w:val="uk" w:eastAsia="uk"/>
              </w:rPr>
            </w:pPr>
            <w:r>
              <w:rPr>
                <w:rStyle w:val="spanrvts0"/>
                <w:lang w:val="uk" w:eastAsia="uk"/>
              </w:rPr>
              <w:br/>
            </w:r>
            <w:r>
              <w:rPr>
                <w:rStyle w:val="spanrvts0"/>
                <w:lang w:val="uk" w:eastAsia="uk"/>
              </w:rPr>
              <w:br/>
            </w:r>
            <w:r>
              <w:rPr>
                <w:rStyle w:val="spanrvts0"/>
                <w:lang w:val="uk" w:eastAsia="uk"/>
              </w:rPr>
              <w:br/>
            </w:r>
            <w:r>
              <w:rPr>
                <w:rStyle w:val="spanrvts44"/>
                <w:lang w:val="uk" w:eastAsia="uk"/>
              </w:rPr>
              <w:t xml:space="preserve">М.О. </w:t>
            </w:r>
            <w:proofErr w:type="spellStart"/>
            <w:r>
              <w:rPr>
                <w:rStyle w:val="spanrvts44"/>
                <w:lang w:val="uk" w:eastAsia="uk"/>
              </w:rPr>
              <w:t>Чмерук</w:t>
            </w:r>
            <w:proofErr w:type="spellEnd"/>
          </w:p>
        </w:tc>
      </w:tr>
    </w:tbl>
    <w:p w:rsidR="002F0B92" w:rsidRDefault="00B05E58" w:rsidP="002F0B92">
      <w:pPr>
        <w:pStyle w:val="break"/>
        <w:spacing w:after="150"/>
        <w:jc w:val="both"/>
        <w:rPr>
          <w:rStyle w:val="spanrvts0"/>
          <w:lang w:val="uk" w:eastAsia="uk"/>
        </w:rPr>
      </w:pPr>
      <w:r>
        <w:lastRenderedPageBreak/>
        <w:pict>
          <v:rect id="_x0000_i1025" style="width:0;height:.75pt" o:hrpct="0" o:hrstd="t" o:hr="t" fillcolor="gray" stroked="f">
            <v:path strokeok="f"/>
          </v:rect>
        </w:pict>
      </w:r>
      <w:bookmarkStart w:id="5" w:name="n168"/>
      <w:bookmarkEnd w:id="5"/>
    </w:p>
    <w:p w:rsidR="00547E6B" w:rsidRDefault="00547E6B"/>
    <w:sectPr w:rsidR="00547E6B" w:rsidSect="002F0B92">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7D"/>
    <w:rsid w:val="002F0B92"/>
    <w:rsid w:val="0050007D"/>
    <w:rsid w:val="00547E6B"/>
    <w:rsid w:val="00B05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56E58-1333-44C6-86FB-E74A4C1B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B9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basedOn w:val="a0"/>
    <w:rsid w:val="002F0B92"/>
    <w:rPr>
      <w:rFonts w:ascii="Times New Roman" w:eastAsia="Times New Roman" w:hAnsi="Times New Roman" w:cs="Times New Roman"/>
      <w:b w:val="0"/>
      <w:bCs w:val="0"/>
      <w:i w:val="0"/>
      <w:iCs w:val="0"/>
      <w:sz w:val="24"/>
      <w:szCs w:val="24"/>
    </w:rPr>
  </w:style>
  <w:style w:type="paragraph" w:customStyle="1" w:styleId="rvps14">
    <w:name w:val="rvps14"/>
    <w:basedOn w:val="a"/>
    <w:rsid w:val="002F0B92"/>
  </w:style>
  <w:style w:type="paragraph" w:customStyle="1" w:styleId="rvps4">
    <w:name w:val="rvps4"/>
    <w:basedOn w:val="a"/>
    <w:rsid w:val="002F0B92"/>
    <w:pPr>
      <w:jc w:val="center"/>
    </w:pPr>
  </w:style>
  <w:style w:type="character" w:customStyle="1" w:styleId="spanrvts23">
    <w:name w:val="span_rvts23"/>
    <w:basedOn w:val="a0"/>
    <w:rsid w:val="002F0B92"/>
    <w:rPr>
      <w:rFonts w:ascii="Times New Roman" w:eastAsia="Times New Roman" w:hAnsi="Times New Roman" w:cs="Times New Roman"/>
      <w:b/>
      <w:bCs/>
      <w:i w:val="0"/>
      <w:iCs w:val="0"/>
      <w:sz w:val="32"/>
      <w:szCs w:val="32"/>
    </w:rPr>
  </w:style>
  <w:style w:type="character" w:customStyle="1" w:styleId="spanrvts9">
    <w:name w:val="span_rvts9"/>
    <w:basedOn w:val="a0"/>
    <w:rsid w:val="002F0B92"/>
    <w:rPr>
      <w:rFonts w:ascii="Times New Roman" w:eastAsia="Times New Roman" w:hAnsi="Times New Roman" w:cs="Times New Roman"/>
      <w:b/>
      <w:bCs/>
      <w:i w:val="0"/>
      <w:iCs w:val="0"/>
      <w:sz w:val="24"/>
      <w:szCs w:val="24"/>
    </w:rPr>
  </w:style>
  <w:style w:type="table" w:customStyle="1" w:styleId="articletable">
    <w:name w:val="article_table"/>
    <w:basedOn w:val="a1"/>
    <w:rsid w:val="002F0B92"/>
    <w:pPr>
      <w:spacing w:after="0" w:line="240" w:lineRule="auto"/>
    </w:pPr>
    <w:rPr>
      <w:rFonts w:ascii="Times New Roman" w:eastAsia="Times New Roman" w:hAnsi="Times New Roman" w:cs="Times New Roman"/>
      <w:sz w:val="20"/>
      <w:szCs w:val="20"/>
      <w:lang w:val="en-US"/>
    </w:rPr>
    <w:tblPr/>
  </w:style>
  <w:style w:type="paragraph" w:customStyle="1" w:styleId="rvps6">
    <w:name w:val="rvps6"/>
    <w:basedOn w:val="a"/>
    <w:rsid w:val="002F0B92"/>
    <w:pPr>
      <w:jc w:val="center"/>
    </w:pPr>
  </w:style>
  <w:style w:type="character" w:customStyle="1" w:styleId="arvts96">
    <w:name w:val="a_rvts96"/>
    <w:basedOn w:val="a0"/>
    <w:rsid w:val="002F0B92"/>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2F0B92"/>
    <w:pPr>
      <w:ind w:firstLine="450"/>
      <w:jc w:val="both"/>
    </w:pPr>
  </w:style>
  <w:style w:type="character" w:customStyle="1" w:styleId="spanrvts46">
    <w:name w:val="span_rvts46"/>
    <w:basedOn w:val="a0"/>
    <w:rsid w:val="002F0B92"/>
    <w:rPr>
      <w:rFonts w:ascii="Times New Roman" w:eastAsia="Times New Roman" w:hAnsi="Times New Roman" w:cs="Times New Roman"/>
      <w:b w:val="0"/>
      <w:bCs w:val="0"/>
      <w:i/>
      <w:iCs/>
      <w:sz w:val="24"/>
      <w:szCs w:val="24"/>
    </w:rPr>
  </w:style>
  <w:style w:type="character" w:customStyle="1" w:styleId="spanrvts11">
    <w:name w:val="span_rvts11"/>
    <w:basedOn w:val="a0"/>
    <w:rsid w:val="002F0B92"/>
    <w:rPr>
      <w:rFonts w:ascii="Times New Roman" w:eastAsia="Times New Roman" w:hAnsi="Times New Roman" w:cs="Times New Roman"/>
      <w:b w:val="0"/>
      <w:bCs w:val="0"/>
      <w:i/>
      <w:iCs/>
      <w:sz w:val="24"/>
      <w:szCs w:val="24"/>
    </w:rPr>
  </w:style>
  <w:style w:type="character" w:customStyle="1" w:styleId="arvts100">
    <w:name w:val="a_rvts100"/>
    <w:basedOn w:val="a0"/>
    <w:rsid w:val="002F0B92"/>
    <w:rPr>
      <w:rFonts w:ascii="Times New Roman" w:eastAsia="Times New Roman" w:hAnsi="Times New Roman" w:cs="Times New Roman"/>
      <w:b w:val="0"/>
      <w:bCs w:val="0"/>
      <w:i/>
      <w:iCs/>
      <w:color w:val="000099"/>
      <w:sz w:val="24"/>
      <w:szCs w:val="24"/>
    </w:rPr>
  </w:style>
  <w:style w:type="character" w:customStyle="1" w:styleId="spanrvts44">
    <w:name w:val="span_rvts44"/>
    <w:basedOn w:val="a0"/>
    <w:rsid w:val="002F0B92"/>
    <w:rPr>
      <w:rFonts w:ascii="Times New Roman" w:eastAsia="Times New Roman" w:hAnsi="Times New Roman" w:cs="Times New Roman"/>
      <w:b/>
      <w:bCs/>
      <w:i w:val="0"/>
      <w:iCs w:val="0"/>
      <w:sz w:val="24"/>
      <w:szCs w:val="24"/>
    </w:rPr>
  </w:style>
  <w:style w:type="paragraph" w:customStyle="1" w:styleId="rvps15">
    <w:name w:val="rvps15"/>
    <w:basedOn w:val="a"/>
    <w:rsid w:val="002F0B92"/>
    <w:pPr>
      <w:jc w:val="right"/>
    </w:pPr>
  </w:style>
  <w:style w:type="paragraph" w:customStyle="1" w:styleId="break">
    <w:name w:val="break"/>
    <w:basedOn w:val="a"/>
    <w:rsid w:val="002F0B92"/>
    <w:pPr>
      <w:pageBreakBefore/>
    </w:pPr>
  </w:style>
  <w:style w:type="paragraph" w:customStyle="1" w:styleId="rvps12">
    <w:name w:val="rvps12"/>
    <w:basedOn w:val="a"/>
    <w:rsid w:val="002F0B92"/>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995_472" TargetMode="External"/><Relationship Id="rId13" Type="http://schemas.openxmlformats.org/officeDocument/2006/relationships/hyperlink" Target="https://zakon.rada.gov.ua/rada/show/v0366201-1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rada/show/995_012" TargetMode="External"/><Relationship Id="rId12" Type="http://schemas.openxmlformats.org/officeDocument/2006/relationships/hyperlink" Target="https://zakon.rada.gov.ua/rada/show/v0772201-18" TargetMode="External"/><Relationship Id="rId17" Type="http://schemas.openxmlformats.org/officeDocument/2006/relationships/hyperlink" Target="https://zakon.rada.gov.ua/rada/show/v0122201-25" TargetMode="External"/><Relationship Id="rId2" Type="http://schemas.openxmlformats.org/officeDocument/2006/relationships/settings" Target="settings.xml"/><Relationship Id="rId16" Type="http://schemas.openxmlformats.org/officeDocument/2006/relationships/hyperlink" Target="https://zakon.rada.gov.ua/rada/show/v0314201-22" TargetMode="External"/><Relationship Id="rId1" Type="http://schemas.openxmlformats.org/officeDocument/2006/relationships/styles" Target="styles.xml"/><Relationship Id="rId6" Type="http://schemas.openxmlformats.org/officeDocument/2006/relationships/hyperlink" Target="https://zakon.rada.gov.ua/rada/show/2755-17" TargetMode="External"/><Relationship Id="rId11" Type="http://schemas.openxmlformats.org/officeDocument/2006/relationships/hyperlink" Target="https://zakon.rada.gov.ua/rada/show/v0541201-18" TargetMode="External"/><Relationship Id="rId5" Type="http://schemas.openxmlformats.org/officeDocument/2006/relationships/hyperlink" Target="https://zakon.rada.gov.ua/rada/show/4495-17" TargetMode="External"/><Relationship Id="rId15" Type="http://schemas.openxmlformats.org/officeDocument/2006/relationships/hyperlink" Target="https://zakon.rada.gov.ua/rada/show/v0301201-22" TargetMode="External"/><Relationship Id="rId10" Type="http://schemas.openxmlformats.org/officeDocument/2006/relationships/hyperlink" Target="https://zakon.rada.gov.ua/rada/show/450-2012-%D0%BF" TargetMode="External"/><Relationship Id="rId19" Type="http://schemas.openxmlformats.org/officeDocument/2006/relationships/theme" Target="theme/theme1.xml"/><Relationship Id="rId4" Type="http://schemas.openxmlformats.org/officeDocument/2006/relationships/hyperlink" Target="https://zakon.rada.gov.ua/rada/show/2371%D0%B0-14" TargetMode="External"/><Relationship Id="rId9" Type="http://schemas.openxmlformats.org/officeDocument/2006/relationships/hyperlink" Target="https://zakon.rada.gov.ua/rada/show/4495-17" TargetMode="External"/><Relationship Id="rId14" Type="http://schemas.openxmlformats.org/officeDocument/2006/relationships/hyperlink" Target="https://zakon.rada.gov.ua/rada/show/v0301201-2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4372</Characters>
  <Application>Microsoft Office Word</Application>
  <DocSecurity>0</DocSecurity>
  <Lines>133</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2025-05-12T12:14:00Z</dcterms:created>
  <dcterms:modified xsi:type="dcterms:W3CDTF">2025-05-12T12:14:00Z</dcterms:modified>
</cp:coreProperties>
</file>