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Додаток</w:t>
      </w:r>
      <w:r>
        <w:rPr>
          <w:rFonts w:cs="Times New Roman"/>
          <w:i w:val="0"/>
          <w:szCs w:val="24"/>
        </w:rPr>
        <w:t xml:space="preserve"> </w:t>
      </w:r>
      <w:r w:rsidR="00DD46BB">
        <w:rPr>
          <w:rFonts w:cs="Times New Roman"/>
          <w:i w:val="0"/>
          <w:szCs w:val="24"/>
          <w:lang w:val="ru-RU"/>
        </w:rPr>
        <w:t>3</w:t>
      </w:r>
      <w:r w:rsidRPr="00B25403">
        <w:rPr>
          <w:rFonts w:cs="Times New Roman"/>
          <w:i w:val="0"/>
          <w:szCs w:val="24"/>
        </w:rPr>
        <w:t xml:space="preserve"> 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 xml:space="preserve">до Порядку організації </w:t>
      </w:r>
      <w:r w:rsidRPr="00412090">
        <w:rPr>
          <w:rFonts w:cs="Times New Roman"/>
          <w:i w:val="0"/>
          <w:szCs w:val="24"/>
        </w:rPr>
        <w:t xml:space="preserve">планування </w:t>
      </w:r>
    </w:p>
    <w:p w:rsidR="00293DB8" w:rsidRPr="00B25403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412090">
        <w:rPr>
          <w:rFonts w:cs="Times New Roman"/>
          <w:i w:val="0"/>
          <w:szCs w:val="24"/>
        </w:rPr>
        <w:t>та</w:t>
      </w:r>
      <w:r>
        <w:rPr>
          <w:rFonts w:cs="Times New Roman"/>
          <w:i w:val="0"/>
          <w:szCs w:val="24"/>
        </w:rPr>
        <w:t xml:space="preserve"> </w:t>
      </w:r>
      <w:r w:rsidRPr="00B25403">
        <w:rPr>
          <w:rFonts w:cs="Times New Roman"/>
          <w:i w:val="0"/>
          <w:szCs w:val="24"/>
        </w:rPr>
        <w:t>проведення публічних закупівель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в Державній митній службі України</w:t>
      </w:r>
    </w:p>
    <w:p w:rsidR="00293DB8" w:rsidRPr="00FA7DD0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(пункт 3.3 розділу ІІІ)</w:t>
      </w: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5E0A4F" w:rsidRPr="005E0A4F" w:rsidRDefault="00DE7E9F" w:rsidP="005E0A4F">
      <w:pPr>
        <w:keepNext/>
        <w:jc w:val="both"/>
        <w:rPr>
          <w:bCs/>
          <w:lang w:eastAsia="uk-UA"/>
        </w:rPr>
      </w:pPr>
      <w:r>
        <w:rPr>
          <w:lang w:val="en-US"/>
        </w:rPr>
        <w:t>1</w:t>
      </w:r>
      <w:r w:rsidR="005E0A4F">
        <w:t xml:space="preserve"> </w:t>
      </w:r>
      <w:r w:rsidR="009610A5" w:rsidRPr="005E0A4F">
        <w:t xml:space="preserve">Предмет закупівлі: </w:t>
      </w:r>
      <w:r w:rsidR="00754E11" w:rsidRPr="00754E11">
        <w:rPr>
          <w:lang w:eastAsia="uk-UA"/>
        </w:rPr>
        <w:t>Уніфіковані митні кв</w:t>
      </w:r>
      <w:r w:rsidR="0000505B">
        <w:rPr>
          <w:lang w:eastAsia="uk-UA"/>
        </w:rPr>
        <w:t>и</w:t>
      </w:r>
      <w:r w:rsidR="00754E11" w:rsidRPr="00754E11">
        <w:rPr>
          <w:lang w:eastAsia="uk-UA"/>
        </w:rPr>
        <w:t xml:space="preserve">танції МД-1, митні декларації на мовах, </w:t>
      </w:r>
      <w:proofErr w:type="gramStart"/>
      <w:r w:rsidR="00754E11" w:rsidRPr="00754E11">
        <w:rPr>
          <w:lang w:eastAsia="uk-UA"/>
        </w:rPr>
        <w:t>сертифікати</w:t>
      </w:r>
      <w:r w:rsidR="00754E11" w:rsidRPr="00754E11">
        <w:rPr>
          <w:b/>
          <w:lang w:eastAsia="uk-UA"/>
        </w:rPr>
        <w:t xml:space="preserve"> </w:t>
      </w:r>
      <w:r w:rsidR="00754E11" w:rsidRPr="00754E11">
        <w:rPr>
          <w:lang w:eastAsia="uk-UA"/>
        </w:rPr>
        <w:t xml:space="preserve"> за</w:t>
      </w:r>
      <w:proofErr w:type="gramEnd"/>
      <w:r w:rsidR="00754E11" w:rsidRPr="00754E11">
        <w:rPr>
          <w:lang w:eastAsia="uk-UA"/>
        </w:rPr>
        <w:t xml:space="preserve"> кодом ДК 021:2015: 22820000-4 — Бланки</w:t>
      </w:r>
      <w:r w:rsidR="00754E11">
        <w:rPr>
          <w:bCs/>
          <w:lang w:val="en-US" w:eastAsia="uk-UA"/>
        </w:rPr>
        <w:t>/</w:t>
      </w:r>
      <w:r w:rsidR="005E0A4F" w:rsidRPr="005E0A4F">
        <w:rPr>
          <w:bCs/>
          <w:lang w:eastAsia="uk-UA"/>
        </w:rPr>
        <w:t xml:space="preserve"> </w:t>
      </w:r>
    </w:p>
    <w:p w:rsidR="009610A5" w:rsidRPr="005E0A4F" w:rsidRDefault="009610A5" w:rsidP="005E0A4F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BD2F7C" w:rsidRPr="00754E11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bookmarkStart w:id="0" w:name="_GoBack"/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</w:t>
      </w:r>
      <w:bookmarkEnd w:id="0"/>
      <w:r w:rsidR="005E0A4F" w:rsidRPr="005E0A4F">
        <w:rPr>
          <w:b w:val="0"/>
          <w:sz w:val="24"/>
          <w:lang w:val="uk-UA"/>
        </w:rPr>
        <w:t>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5E0A4F">
        <w:rPr>
          <w:b w:val="0"/>
          <w:sz w:val="24"/>
          <w:lang w:val="uk-UA"/>
        </w:rPr>
        <w:t>:</w:t>
      </w:r>
      <w:r w:rsidR="00346485" w:rsidRPr="00346485">
        <w:rPr>
          <w:b w:val="0"/>
          <w:sz w:val="24"/>
          <w:lang w:val="uk-UA"/>
        </w:rPr>
        <w:t xml:space="preserve"> </w:t>
      </w:r>
      <w:r w:rsidR="0000505B">
        <w:rPr>
          <w:b w:val="0"/>
          <w:sz w:val="24"/>
          <w:lang w:eastAsia="uk-UA"/>
        </w:rPr>
        <w:t xml:space="preserve">Уніфіковані митні </w:t>
      </w:r>
      <w:proofErr w:type="spellStart"/>
      <w:r w:rsidR="0000505B">
        <w:rPr>
          <w:b w:val="0"/>
          <w:sz w:val="24"/>
          <w:lang w:eastAsia="uk-UA"/>
        </w:rPr>
        <w:t>кв</w:t>
      </w:r>
      <w:r w:rsidR="0000505B">
        <w:rPr>
          <w:b w:val="0"/>
          <w:sz w:val="24"/>
          <w:lang w:val="uk-UA" w:eastAsia="uk-UA"/>
        </w:rPr>
        <w:t>и</w:t>
      </w:r>
      <w:r w:rsidR="00754E11" w:rsidRPr="00754E11">
        <w:rPr>
          <w:b w:val="0"/>
          <w:sz w:val="24"/>
          <w:lang w:eastAsia="uk-UA"/>
        </w:rPr>
        <w:t>танції</w:t>
      </w:r>
      <w:proofErr w:type="spellEnd"/>
      <w:r w:rsidR="00754E11" w:rsidRPr="00754E11">
        <w:rPr>
          <w:b w:val="0"/>
          <w:sz w:val="24"/>
          <w:lang w:eastAsia="uk-UA"/>
        </w:rPr>
        <w:t xml:space="preserve"> МД-1, митні декларації на мовах, сертифікати  </w:t>
      </w:r>
      <w:r w:rsidR="00346485" w:rsidRPr="00754E11">
        <w:rPr>
          <w:b w:val="0"/>
          <w:sz w:val="24"/>
          <w:lang w:val="uk-UA"/>
        </w:rPr>
        <w:t>.</w:t>
      </w:r>
    </w:p>
    <w:p w:rsidR="00346485" w:rsidRPr="00754E11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 xml:space="preserve">3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754E11">
        <w:rPr>
          <w:lang w:val="en-US"/>
        </w:rPr>
        <w:t xml:space="preserve">11 070 </w:t>
      </w:r>
      <w:r w:rsidR="00346485">
        <w:t>шт</w:t>
      </w:r>
      <w:r w:rsidR="00346485" w:rsidRPr="00DE7E9F">
        <w:t>.</w:t>
      </w:r>
      <w:r w:rsidR="00346485" w:rsidRPr="00346485">
        <w:rPr>
          <w:sz w:val="27"/>
          <w:szCs w:val="27"/>
        </w:rPr>
        <w:t xml:space="preserve"> </w:t>
      </w:r>
      <w:r w:rsidR="00346485">
        <w:t xml:space="preserve"> </w:t>
      </w:r>
      <w:r w:rsidRPr="00346485">
        <w:t>у сумі</w:t>
      </w:r>
      <w:r w:rsidR="00346485">
        <w:t xml:space="preserve"> </w:t>
      </w:r>
      <w:r w:rsidR="00F41F7F" w:rsidRPr="00F41F7F">
        <w:t>193 4</w:t>
      </w:r>
      <w:r w:rsidR="00F41F7F" w:rsidRPr="00F41F7F">
        <w:rPr>
          <w:lang w:val="en-US"/>
        </w:rPr>
        <w:t>0</w:t>
      </w:r>
      <w:r w:rsidR="00F41F7F" w:rsidRPr="00F41F7F">
        <w:t>0,00</w:t>
      </w:r>
      <w:r w:rsidR="00F41F7F">
        <w:t xml:space="preserve"> </w:t>
      </w:r>
      <w:r w:rsidR="005E0A4F" w:rsidRPr="00406548">
        <w:t>грн</w:t>
      </w:r>
      <w:r w:rsidR="00060F94" w:rsidRPr="00346485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60F94" w:rsidRPr="00060F94" w:rsidRDefault="00060F94" w:rsidP="005E0A4F">
      <w:pPr>
        <w:shd w:val="clear" w:color="auto" w:fill="FDFEFD"/>
        <w:jc w:val="both"/>
        <w:textAlignment w:val="baseline"/>
      </w:pPr>
      <w:r w:rsidRPr="00060F94">
        <w:t>;</w:t>
      </w:r>
    </w:p>
    <w:p w:rsidR="00754E11" w:rsidRDefault="00754E11" w:rsidP="00754E11">
      <w:pPr>
        <w:ind w:firstLine="360"/>
        <w:jc w:val="center"/>
        <w:rPr>
          <w:b/>
          <w:bCs/>
        </w:rPr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842"/>
        <w:gridCol w:w="1276"/>
        <w:gridCol w:w="880"/>
        <w:gridCol w:w="4500"/>
      </w:tblGrid>
      <w:tr w:rsidR="00754E11" w:rsidTr="00C9522E">
        <w:trPr>
          <w:jc w:val="center"/>
        </w:trPr>
        <w:tc>
          <w:tcPr>
            <w:tcW w:w="697" w:type="dxa"/>
            <w:vAlign w:val="center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№ з/п</w:t>
            </w:r>
          </w:p>
        </w:tc>
        <w:tc>
          <w:tcPr>
            <w:tcW w:w="2842" w:type="dxa"/>
            <w:vAlign w:val="center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Найменування Товару</w:t>
            </w:r>
          </w:p>
        </w:tc>
        <w:tc>
          <w:tcPr>
            <w:tcW w:w="1276" w:type="dxa"/>
            <w:vAlign w:val="center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Одиниця</w:t>
            </w:r>
            <w:r>
              <w:rPr>
                <w:rFonts w:eastAsia="Arial Unicode MS"/>
              </w:rPr>
              <w:t xml:space="preserve"> </w:t>
            </w:r>
            <w:r w:rsidRPr="00793236">
              <w:rPr>
                <w:rFonts w:eastAsia="Arial Unicode MS"/>
              </w:rPr>
              <w:t>виміру</w:t>
            </w:r>
          </w:p>
        </w:tc>
        <w:tc>
          <w:tcPr>
            <w:tcW w:w="880" w:type="dxa"/>
            <w:vAlign w:val="center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Кіль </w:t>
            </w:r>
            <w:r w:rsidRPr="00793236">
              <w:rPr>
                <w:rFonts w:eastAsia="Arial Unicode MS"/>
              </w:rPr>
              <w:t>кість</w:t>
            </w:r>
          </w:p>
        </w:tc>
        <w:tc>
          <w:tcPr>
            <w:tcW w:w="4500" w:type="dxa"/>
            <w:vAlign w:val="center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Технічний опис</w:t>
            </w: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1</w:t>
            </w:r>
          </w:p>
        </w:tc>
        <w:tc>
          <w:tcPr>
            <w:tcW w:w="2842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Митні</w:t>
            </w:r>
            <w:r w:rsidRPr="003F3B06">
              <w:rPr>
                <w:rFonts w:eastAsia="Arial Unicode MS"/>
              </w:rPr>
              <w:t xml:space="preserve"> декларації на мовах</w:t>
            </w:r>
            <w:r>
              <w:rPr>
                <w:rFonts w:eastAsia="Arial Unicode MS"/>
              </w:rPr>
              <w:t xml:space="preserve"> (а</w:t>
            </w:r>
            <w:r w:rsidRPr="00793236">
              <w:rPr>
                <w:rFonts w:eastAsia="Arial Unicode MS"/>
              </w:rPr>
              <w:t>нглійська</w:t>
            </w:r>
            <w:r>
              <w:rPr>
                <w:rFonts w:eastAsia="Arial Unicode MS"/>
              </w:rPr>
              <w:t>)</w:t>
            </w:r>
          </w:p>
        </w:tc>
        <w:tc>
          <w:tcPr>
            <w:tcW w:w="1276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20</w:t>
            </w:r>
            <w:r>
              <w:rPr>
                <w:rFonts w:eastAsia="Arial Unicode MS"/>
              </w:rPr>
              <w:t> </w:t>
            </w:r>
            <w:r w:rsidRPr="00793236">
              <w:rPr>
                <w:rFonts w:eastAsia="Arial Unicode MS"/>
              </w:rPr>
              <w:t>000</w:t>
            </w:r>
          </w:p>
        </w:tc>
        <w:tc>
          <w:tcPr>
            <w:tcW w:w="4500" w:type="dxa"/>
            <w:vMerge w:val="restart"/>
          </w:tcPr>
          <w:p w:rsidR="00754E11" w:rsidRDefault="00754E11" w:rsidP="00C9522E">
            <w:pPr>
              <w:ind w:left="-99"/>
              <w:jc w:val="center"/>
              <w:rPr>
                <w:sz w:val="28"/>
                <w:szCs w:val="28"/>
              </w:rPr>
            </w:pPr>
          </w:p>
          <w:p w:rsidR="00754E11" w:rsidRPr="003467E0" w:rsidRDefault="00754E11" w:rsidP="00C9522E">
            <w:pPr>
              <w:rPr>
                <w:snapToGrid w:val="0"/>
                <w:color w:val="000000"/>
              </w:rPr>
            </w:pPr>
            <w:r w:rsidRPr="006B2951">
              <w:rPr>
                <w:snapToGrid w:val="0"/>
                <w:color w:val="000000"/>
              </w:rPr>
              <w:t>Формат</w:t>
            </w:r>
            <w:r w:rsidRPr="003467E0">
              <w:rPr>
                <w:snapToGrid w:val="0"/>
                <w:color w:val="000000"/>
              </w:rPr>
              <w:t xml:space="preserve"> А4, 1+1;</w:t>
            </w:r>
          </w:p>
          <w:p w:rsidR="00754E11" w:rsidRDefault="00754E11" w:rsidP="00C9522E">
            <w:pPr>
              <w:rPr>
                <w:snapToGrid w:val="0"/>
                <w:color w:val="000000"/>
              </w:rPr>
            </w:pPr>
            <w:r w:rsidRPr="003467E0">
              <w:rPr>
                <w:snapToGrid w:val="0"/>
                <w:color w:val="000000"/>
              </w:rPr>
              <w:t xml:space="preserve">офсет не менше 60 г/м2;               упаковка по 500 </w:t>
            </w:r>
            <w:proofErr w:type="spellStart"/>
            <w:r w:rsidRPr="003467E0">
              <w:rPr>
                <w:snapToGrid w:val="0"/>
                <w:color w:val="000000"/>
              </w:rPr>
              <w:t>шт</w:t>
            </w:r>
            <w:proofErr w:type="spellEnd"/>
            <w:r w:rsidRPr="003467E0">
              <w:rPr>
                <w:snapToGrid w:val="0"/>
                <w:color w:val="000000"/>
              </w:rPr>
              <w:t xml:space="preserve"> </w:t>
            </w:r>
          </w:p>
          <w:p w:rsidR="00754E11" w:rsidRPr="00793236" w:rsidRDefault="00754E11" w:rsidP="00C9522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(затверджено</w:t>
            </w:r>
            <w:r w:rsidRPr="00A05D51">
              <w:rPr>
                <w:rFonts w:eastAsia="Arial Unicode MS"/>
              </w:rPr>
              <w:t xml:space="preserve"> постановою  Кабінету Міністрів України </w:t>
            </w:r>
            <w:r w:rsidRPr="003467E0">
              <w:rPr>
                <w:snapToGrid w:val="0"/>
                <w:color w:val="000000"/>
              </w:rPr>
              <w:br/>
            </w:r>
            <w:r w:rsidRPr="00A05D51">
              <w:rPr>
                <w:rFonts w:eastAsia="Arial Unicode MS"/>
              </w:rPr>
              <w:t>від 21 травня 2012 р. № 431</w:t>
            </w:r>
            <w:r>
              <w:rPr>
                <w:rFonts w:eastAsia="Arial Unicode MS"/>
              </w:rPr>
              <w:t xml:space="preserve">) </w:t>
            </w: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2</w:t>
            </w:r>
          </w:p>
        </w:tc>
        <w:tc>
          <w:tcPr>
            <w:tcW w:w="2842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Митні</w:t>
            </w:r>
            <w:r w:rsidRPr="003F3B06">
              <w:rPr>
                <w:rFonts w:eastAsia="Arial Unicode MS"/>
              </w:rPr>
              <w:t xml:space="preserve"> декларації на мовах</w:t>
            </w:r>
            <w:r>
              <w:rPr>
                <w:rFonts w:eastAsia="Arial Unicode MS"/>
              </w:rPr>
              <w:t xml:space="preserve"> (н</w:t>
            </w:r>
            <w:r w:rsidRPr="00793236">
              <w:rPr>
                <w:rFonts w:eastAsia="Arial Unicode MS"/>
              </w:rPr>
              <w:t>імецька</w:t>
            </w:r>
            <w:r>
              <w:rPr>
                <w:rFonts w:eastAsia="Arial Unicode MS"/>
              </w:rPr>
              <w:t>)</w:t>
            </w:r>
          </w:p>
        </w:tc>
        <w:tc>
          <w:tcPr>
            <w:tcW w:w="1276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20 000</w:t>
            </w:r>
          </w:p>
        </w:tc>
        <w:tc>
          <w:tcPr>
            <w:tcW w:w="4500" w:type="dxa"/>
            <w:vMerge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both"/>
              <w:rPr>
                <w:rFonts w:eastAsia="Arial Unicode MS"/>
              </w:rPr>
            </w:pP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3</w:t>
            </w:r>
          </w:p>
        </w:tc>
        <w:tc>
          <w:tcPr>
            <w:tcW w:w="2842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Митні</w:t>
            </w:r>
            <w:r w:rsidRPr="003F3B06">
              <w:rPr>
                <w:rFonts w:eastAsia="Arial Unicode MS"/>
              </w:rPr>
              <w:t xml:space="preserve"> декларації на мовах</w:t>
            </w:r>
            <w:r>
              <w:rPr>
                <w:rFonts w:eastAsia="Arial Unicode MS"/>
              </w:rPr>
              <w:t xml:space="preserve"> (п</w:t>
            </w:r>
            <w:r w:rsidRPr="00793236">
              <w:rPr>
                <w:rFonts w:eastAsia="Arial Unicode MS"/>
              </w:rPr>
              <w:t>ольська</w:t>
            </w:r>
            <w:r>
              <w:rPr>
                <w:rFonts w:eastAsia="Arial Unicode MS"/>
              </w:rPr>
              <w:t>)</w:t>
            </w:r>
          </w:p>
        </w:tc>
        <w:tc>
          <w:tcPr>
            <w:tcW w:w="1276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20 000</w:t>
            </w:r>
          </w:p>
        </w:tc>
        <w:tc>
          <w:tcPr>
            <w:tcW w:w="4500" w:type="dxa"/>
            <w:vMerge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both"/>
              <w:rPr>
                <w:rFonts w:eastAsia="Arial Unicode MS"/>
              </w:rPr>
            </w:pP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4</w:t>
            </w:r>
          </w:p>
        </w:tc>
        <w:tc>
          <w:tcPr>
            <w:tcW w:w="2842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Митні</w:t>
            </w:r>
            <w:r w:rsidRPr="003F3B06">
              <w:rPr>
                <w:rFonts w:eastAsia="Arial Unicode MS"/>
              </w:rPr>
              <w:t xml:space="preserve"> декларації на мовах</w:t>
            </w:r>
            <w:r>
              <w:rPr>
                <w:rFonts w:eastAsia="Arial Unicode MS"/>
              </w:rPr>
              <w:t xml:space="preserve"> (турецька)</w:t>
            </w:r>
          </w:p>
        </w:tc>
        <w:tc>
          <w:tcPr>
            <w:tcW w:w="1276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20 000</w:t>
            </w:r>
          </w:p>
        </w:tc>
        <w:tc>
          <w:tcPr>
            <w:tcW w:w="4500" w:type="dxa"/>
            <w:vMerge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ind w:left="0"/>
              <w:jc w:val="both"/>
              <w:rPr>
                <w:rFonts w:eastAsia="Arial Unicode MS"/>
              </w:rPr>
            </w:pP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</w:tc>
        <w:tc>
          <w:tcPr>
            <w:tcW w:w="2842" w:type="dxa"/>
          </w:tcPr>
          <w:p w:rsidR="00754E11" w:rsidRPr="00446AA3" w:rsidRDefault="00754E11" w:rsidP="00C9522E">
            <w:pPr>
              <w:jc w:val="center"/>
              <w:rPr>
                <w:snapToGrid w:val="0"/>
                <w:color w:val="000000"/>
              </w:rPr>
            </w:pPr>
            <w:r w:rsidRPr="00446AA3">
              <w:rPr>
                <w:snapToGrid w:val="0"/>
                <w:color w:val="000000"/>
              </w:rPr>
              <w:t>Уніфікован</w:t>
            </w:r>
            <w:r>
              <w:rPr>
                <w:snapToGrid w:val="0"/>
                <w:color w:val="000000"/>
              </w:rPr>
              <w:t>і</w:t>
            </w:r>
            <w:r w:rsidRPr="00446AA3">
              <w:rPr>
                <w:snapToGrid w:val="0"/>
                <w:color w:val="000000"/>
              </w:rPr>
              <w:t xml:space="preserve"> митн</w:t>
            </w:r>
            <w:r>
              <w:rPr>
                <w:snapToGrid w:val="0"/>
                <w:color w:val="000000"/>
              </w:rPr>
              <w:t>і</w:t>
            </w:r>
            <w:r w:rsidRPr="00446AA3">
              <w:rPr>
                <w:snapToGrid w:val="0"/>
                <w:color w:val="000000"/>
              </w:rPr>
              <w:t xml:space="preserve"> квитанці</w:t>
            </w:r>
            <w:r>
              <w:rPr>
                <w:snapToGrid w:val="0"/>
                <w:color w:val="000000"/>
              </w:rPr>
              <w:t>ї</w:t>
            </w:r>
            <w:r w:rsidRPr="00446AA3">
              <w:rPr>
                <w:snapToGrid w:val="0"/>
                <w:color w:val="000000"/>
              </w:rPr>
              <w:t xml:space="preserve"> (форма МД-1)</w:t>
            </w:r>
          </w:p>
          <w:p w:rsidR="00754E11" w:rsidRPr="00446AA3" w:rsidRDefault="00754E11" w:rsidP="00C9522E">
            <w:pPr>
              <w:jc w:val="center"/>
              <w:rPr>
                <w:snapToGrid w:val="0"/>
                <w:color w:val="000000"/>
              </w:rPr>
            </w:pPr>
            <w:r w:rsidRPr="00CF541B">
              <w:rPr>
                <w:b/>
                <w:snapToGrid w:val="0"/>
                <w:color w:val="000000"/>
              </w:rPr>
              <w:t>Нумерація</w:t>
            </w:r>
            <w:r>
              <w:rPr>
                <w:snapToGrid w:val="0"/>
                <w:color w:val="000000"/>
              </w:rPr>
              <w:t>:</w:t>
            </w:r>
          </w:p>
          <w:p w:rsidR="00754E11" w:rsidRPr="00446AA3" w:rsidRDefault="00754E11" w:rsidP="00C9522E">
            <w:pPr>
              <w:jc w:val="center"/>
              <w:rPr>
                <w:snapToGrid w:val="0"/>
                <w:color w:val="000000"/>
              </w:rPr>
            </w:pPr>
            <w:r w:rsidRPr="00446AA3">
              <w:rPr>
                <w:snapToGrid w:val="0"/>
                <w:color w:val="000000"/>
              </w:rPr>
              <w:t>з:</w:t>
            </w:r>
            <w:r>
              <w:rPr>
                <w:snapToGrid w:val="0"/>
                <w:color w:val="000000"/>
              </w:rPr>
              <w:t xml:space="preserve"> </w:t>
            </w:r>
            <w:r w:rsidRPr="00CF541B">
              <w:rPr>
                <w:b/>
                <w:snapToGrid w:val="0"/>
                <w:color w:val="000000"/>
              </w:rPr>
              <w:t>МЕ 000001</w:t>
            </w:r>
          </w:p>
          <w:p w:rsidR="00754E11" w:rsidRPr="00793236" w:rsidRDefault="00754E11" w:rsidP="00C9522E">
            <w:pPr>
              <w:jc w:val="center"/>
              <w:rPr>
                <w:rFonts w:eastAsia="Arial Unicode MS"/>
              </w:rPr>
            </w:pPr>
            <w:r w:rsidRPr="00446AA3">
              <w:rPr>
                <w:snapToGrid w:val="0"/>
                <w:color w:val="000000"/>
              </w:rPr>
              <w:t xml:space="preserve">по: </w:t>
            </w:r>
            <w:r w:rsidRPr="00CF541B">
              <w:rPr>
                <w:b/>
                <w:snapToGrid w:val="0"/>
                <w:color w:val="000000"/>
              </w:rPr>
              <w:t>МЕ 030000</w:t>
            </w:r>
          </w:p>
        </w:tc>
        <w:tc>
          <w:tcPr>
            <w:tcW w:w="1276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6B2951">
              <w:rPr>
                <w:rFonts w:eastAsia="Arial Unicode MS"/>
              </w:rPr>
              <w:t>комплект</w:t>
            </w:r>
          </w:p>
        </w:tc>
        <w:tc>
          <w:tcPr>
            <w:tcW w:w="880" w:type="dxa"/>
          </w:tcPr>
          <w:p w:rsidR="00754E11" w:rsidRPr="00793236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before="120" w:after="120"/>
              <w:ind w:left="0"/>
              <w:jc w:val="center"/>
              <w:rPr>
                <w:rFonts w:eastAsia="Arial Unicode MS"/>
              </w:rPr>
            </w:pPr>
            <w:r w:rsidRPr="006B2951">
              <w:rPr>
                <w:rFonts w:eastAsia="Arial Unicode MS"/>
              </w:rPr>
              <w:t>3</w:t>
            </w:r>
            <w:r>
              <w:rPr>
                <w:rFonts w:eastAsia="Arial Unicode MS"/>
              </w:rPr>
              <w:t>0</w:t>
            </w:r>
            <w:r w:rsidRPr="006B2951">
              <w:rPr>
                <w:rFonts w:eastAsia="Arial Unicode MS"/>
              </w:rPr>
              <w:t xml:space="preserve"> 000</w:t>
            </w:r>
          </w:p>
        </w:tc>
        <w:tc>
          <w:tcPr>
            <w:tcW w:w="4500" w:type="dxa"/>
          </w:tcPr>
          <w:p w:rsidR="00754E11" w:rsidRDefault="00754E11" w:rsidP="00C9522E">
            <w:pPr>
              <w:rPr>
                <w:snapToGrid w:val="0"/>
                <w:color w:val="000000"/>
              </w:rPr>
            </w:pPr>
            <w:r w:rsidRPr="006B2951">
              <w:rPr>
                <w:snapToGrid w:val="0"/>
                <w:color w:val="000000"/>
              </w:rPr>
              <w:t>Формат А4,</w:t>
            </w:r>
            <w:r>
              <w:rPr>
                <w:snapToGrid w:val="0"/>
                <w:color w:val="000000"/>
              </w:rPr>
              <w:t xml:space="preserve"> альбомний; щільність</w:t>
            </w:r>
            <w:r w:rsidRPr="00B103A2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 xml:space="preserve">55-57г/м2; комплект: 3 </w:t>
            </w:r>
            <w:proofErr w:type="spellStart"/>
            <w:r>
              <w:rPr>
                <w:snapToGrid w:val="0"/>
                <w:color w:val="000000"/>
              </w:rPr>
              <w:t>самокопіювальні</w:t>
            </w:r>
            <w:proofErr w:type="spellEnd"/>
            <w:r>
              <w:rPr>
                <w:snapToGrid w:val="0"/>
                <w:color w:val="000000"/>
              </w:rPr>
              <w:t xml:space="preserve"> аркуші;</w:t>
            </w:r>
            <w:r w:rsidRPr="006B2951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д</w:t>
            </w:r>
            <w:r w:rsidRPr="006B2951">
              <w:rPr>
                <w:snapToGrid w:val="0"/>
                <w:color w:val="000000"/>
              </w:rPr>
              <w:t>рук з обох сторін</w:t>
            </w:r>
            <w:r>
              <w:rPr>
                <w:snapToGrid w:val="0"/>
                <w:color w:val="000000"/>
              </w:rPr>
              <w:t xml:space="preserve"> </w:t>
            </w:r>
          </w:p>
          <w:p w:rsidR="00754E11" w:rsidRPr="00793236" w:rsidRDefault="00754E11" w:rsidP="00C9522E">
            <w:pPr>
              <w:rPr>
                <w:rFonts w:eastAsia="Arial Unicode MS"/>
              </w:rPr>
            </w:pPr>
            <w:r w:rsidRPr="00446AA3">
              <w:rPr>
                <w:snapToGrid w:val="0"/>
                <w:color w:val="000000"/>
              </w:rPr>
              <w:t>(затверджено</w:t>
            </w:r>
            <w:r w:rsidRPr="003467E0">
              <w:rPr>
                <w:snapToGrid w:val="0"/>
                <w:color w:val="000000"/>
              </w:rPr>
              <w:t xml:space="preserve"> постановою Кабінету Міністрів України</w:t>
            </w:r>
            <w:r w:rsidRPr="003467E0">
              <w:rPr>
                <w:snapToGrid w:val="0"/>
                <w:color w:val="000000"/>
              </w:rPr>
              <w:br/>
              <w:t>від 21 травня 2012 р. № 431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842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</w:t>
            </w:r>
            <w:r w:rsidRPr="006B2951">
              <w:rPr>
                <w:rFonts w:eastAsia="Arial Unicode MS"/>
              </w:rPr>
              <w:t>ертифікат</w:t>
            </w:r>
            <w:r>
              <w:rPr>
                <w:rFonts w:eastAsia="Arial Unicode MS"/>
              </w:rPr>
              <w:t>и</w:t>
            </w:r>
            <w:r w:rsidRPr="006B2951">
              <w:rPr>
                <w:rFonts w:eastAsia="Arial Unicode MS"/>
              </w:rPr>
              <w:t xml:space="preserve"> загальної гарантії</w:t>
            </w:r>
          </w:p>
        </w:tc>
        <w:tc>
          <w:tcPr>
            <w:tcW w:w="1276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50</w:t>
            </w:r>
          </w:p>
        </w:tc>
        <w:tc>
          <w:tcPr>
            <w:tcW w:w="4500" w:type="dxa"/>
          </w:tcPr>
          <w:p w:rsidR="00754E11" w:rsidRDefault="00754E11" w:rsidP="00C9522E">
            <w:pPr>
              <w:rPr>
                <w:snapToGrid w:val="0"/>
                <w:color w:val="000000"/>
              </w:rPr>
            </w:pPr>
            <w:r w:rsidRPr="006B2951">
              <w:rPr>
                <w:snapToGrid w:val="0"/>
                <w:color w:val="000000"/>
              </w:rPr>
              <w:t>Формат: 210 х 148 мм</w:t>
            </w:r>
            <w:r>
              <w:rPr>
                <w:snapToGrid w:val="0"/>
                <w:color w:val="000000"/>
              </w:rPr>
              <w:t>;</w:t>
            </w:r>
            <w:r w:rsidRPr="00446AA3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щільність</w:t>
            </w:r>
            <w:r w:rsidRPr="00B103A2">
              <w:rPr>
                <w:snapToGrid w:val="0"/>
                <w:color w:val="000000"/>
              </w:rPr>
              <w:t xml:space="preserve"> не менше 100 г/м2</w:t>
            </w:r>
            <w:r>
              <w:rPr>
                <w:snapToGrid w:val="0"/>
                <w:color w:val="000000"/>
              </w:rPr>
              <w:t xml:space="preserve">; </w:t>
            </w:r>
            <w:r w:rsidRPr="00B103A2">
              <w:rPr>
                <w:snapToGrid w:val="0"/>
                <w:color w:val="000000"/>
              </w:rPr>
              <w:t>гільйоширування з обох сторін</w:t>
            </w:r>
            <w:r>
              <w:rPr>
                <w:snapToGrid w:val="0"/>
                <w:color w:val="000000"/>
              </w:rPr>
              <w:t>; ф</w:t>
            </w:r>
            <w:r w:rsidRPr="00B103A2">
              <w:rPr>
                <w:snapToGrid w:val="0"/>
                <w:color w:val="000000"/>
              </w:rPr>
              <w:t>он: зелений</w:t>
            </w:r>
          </w:p>
          <w:p w:rsidR="00754E11" w:rsidRPr="006B2951" w:rsidRDefault="00754E11" w:rsidP="00C9522E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(</w:t>
            </w:r>
            <w:r w:rsidRPr="009F2D8A">
              <w:rPr>
                <w:snapToGrid w:val="0"/>
                <w:color w:val="000000"/>
              </w:rPr>
              <w:t xml:space="preserve">відповідно до § 2 статті 2 Рішення спільного комітету ЄС-КСТ № 3/2024 </w:t>
            </w:r>
            <w:r>
              <w:rPr>
                <w:snapToGrid w:val="0"/>
                <w:color w:val="000000"/>
              </w:rPr>
              <w:t xml:space="preserve"> </w:t>
            </w:r>
            <w:r w:rsidRPr="009F2D8A">
              <w:rPr>
                <w:snapToGrid w:val="0"/>
                <w:color w:val="000000"/>
              </w:rPr>
              <w:t>від 05.11.2024 «Про внесення змін до Конвенції від 20 травня 1987 року про процедуру спільного транзиту</w:t>
            </w:r>
            <w:r w:rsidRPr="00446AA3">
              <w:rPr>
                <w:snapToGrid w:val="0"/>
                <w:color w:val="000000"/>
              </w:rPr>
              <w:t>»)</w:t>
            </w:r>
          </w:p>
        </w:tc>
      </w:tr>
      <w:tr w:rsidR="00754E11" w:rsidTr="00C9522E">
        <w:trPr>
          <w:jc w:val="center"/>
        </w:trPr>
        <w:tc>
          <w:tcPr>
            <w:tcW w:w="697" w:type="dxa"/>
          </w:tcPr>
          <w:p w:rsidR="00754E1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842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</w:t>
            </w:r>
            <w:r w:rsidRPr="006B2951">
              <w:rPr>
                <w:rFonts w:eastAsia="Arial Unicode MS"/>
              </w:rPr>
              <w:t>ертифікат</w:t>
            </w:r>
            <w:r>
              <w:rPr>
                <w:rFonts w:eastAsia="Arial Unicode MS"/>
              </w:rPr>
              <w:t>и</w:t>
            </w:r>
            <w:r w:rsidRPr="006B2951">
              <w:rPr>
                <w:rFonts w:eastAsia="Arial Unicode MS"/>
              </w:rPr>
              <w:t xml:space="preserve"> звільнення від гарантії</w:t>
            </w:r>
          </w:p>
        </w:tc>
        <w:tc>
          <w:tcPr>
            <w:tcW w:w="1276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 w:rsidRPr="00793236">
              <w:rPr>
                <w:rFonts w:eastAsia="Arial Unicode MS"/>
              </w:rPr>
              <w:t>шт.</w:t>
            </w:r>
          </w:p>
        </w:tc>
        <w:tc>
          <w:tcPr>
            <w:tcW w:w="880" w:type="dxa"/>
          </w:tcPr>
          <w:p w:rsidR="00754E11" w:rsidRPr="006B2951" w:rsidRDefault="00754E11" w:rsidP="00C9522E">
            <w:pPr>
              <w:pStyle w:val="aa"/>
              <w:tabs>
                <w:tab w:val="left" w:pos="0"/>
                <w:tab w:val="left" w:pos="426"/>
                <w:tab w:val="left" w:pos="709"/>
              </w:tabs>
              <w:spacing w:after="120"/>
              <w:ind w:left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  <w:tc>
          <w:tcPr>
            <w:tcW w:w="4500" w:type="dxa"/>
          </w:tcPr>
          <w:p w:rsidR="00754E11" w:rsidRDefault="00754E11" w:rsidP="00C9522E">
            <w:pPr>
              <w:rPr>
                <w:snapToGrid w:val="0"/>
                <w:color w:val="000000"/>
              </w:rPr>
            </w:pPr>
            <w:r w:rsidRPr="006B2951">
              <w:rPr>
                <w:snapToGrid w:val="0"/>
                <w:color w:val="000000"/>
              </w:rPr>
              <w:t>Формат: 210 х 148 мм</w:t>
            </w:r>
            <w:r>
              <w:rPr>
                <w:snapToGrid w:val="0"/>
                <w:color w:val="000000"/>
              </w:rPr>
              <w:t>; щільність</w:t>
            </w:r>
            <w:r w:rsidRPr="00B103A2">
              <w:rPr>
                <w:snapToGrid w:val="0"/>
                <w:color w:val="000000"/>
              </w:rPr>
              <w:t xml:space="preserve"> не менше 100 г/м2</w:t>
            </w:r>
            <w:r>
              <w:rPr>
                <w:snapToGrid w:val="0"/>
                <w:color w:val="000000"/>
              </w:rPr>
              <w:t xml:space="preserve">; </w:t>
            </w:r>
            <w:r w:rsidRPr="00B103A2">
              <w:rPr>
                <w:snapToGrid w:val="0"/>
                <w:color w:val="000000"/>
              </w:rPr>
              <w:t>гільйоширування з обох сторін</w:t>
            </w:r>
            <w:r>
              <w:rPr>
                <w:snapToGrid w:val="0"/>
                <w:color w:val="000000"/>
              </w:rPr>
              <w:t>; ф</w:t>
            </w:r>
            <w:r w:rsidRPr="00B103A2">
              <w:rPr>
                <w:snapToGrid w:val="0"/>
                <w:color w:val="000000"/>
              </w:rPr>
              <w:t xml:space="preserve">он: </w:t>
            </w:r>
            <w:r>
              <w:rPr>
                <w:snapToGrid w:val="0"/>
                <w:color w:val="000000"/>
              </w:rPr>
              <w:t>світло-блакитний</w:t>
            </w:r>
            <w:r w:rsidRPr="009F2D8A">
              <w:rPr>
                <w:snapToGrid w:val="0"/>
                <w:color w:val="000000"/>
              </w:rPr>
              <w:t xml:space="preserve"> </w:t>
            </w:r>
          </w:p>
          <w:p w:rsidR="00754E11" w:rsidRPr="006B2951" w:rsidRDefault="00754E11" w:rsidP="00C9522E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(</w:t>
            </w:r>
            <w:r w:rsidRPr="009F2D8A">
              <w:rPr>
                <w:snapToGrid w:val="0"/>
                <w:color w:val="000000"/>
              </w:rPr>
              <w:t xml:space="preserve">відповідно до § 2 статті 2 Рішення спільного комітету ЄС-КСТ № 3/2024 </w:t>
            </w:r>
            <w:r>
              <w:rPr>
                <w:snapToGrid w:val="0"/>
                <w:color w:val="000000"/>
              </w:rPr>
              <w:t xml:space="preserve">  </w:t>
            </w:r>
            <w:r w:rsidRPr="009F2D8A">
              <w:rPr>
                <w:snapToGrid w:val="0"/>
                <w:color w:val="000000"/>
              </w:rPr>
              <w:t>від 05.11.2024 «Про внесення змін до Конвенції від 20 травня 1987 року про процедуру спільного транзиту</w:t>
            </w:r>
            <w:r w:rsidRPr="00446AA3">
              <w:rPr>
                <w:snapToGrid w:val="0"/>
                <w:color w:val="000000"/>
              </w:rPr>
              <w:t>»)</w:t>
            </w:r>
          </w:p>
        </w:tc>
      </w:tr>
    </w:tbl>
    <w:p w:rsidR="00060F94" w:rsidRDefault="00060F94" w:rsidP="00060F94">
      <w:pPr>
        <w:pStyle w:val="aa"/>
        <w:ind w:left="0"/>
      </w:pPr>
    </w:p>
    <w:p w:rsidR="00754E11" w:rsidRPr="00060F94" w:rsidRDefault="00754E11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F41F7F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F7F" w:rsidRPr="00F41F7F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41F7F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505B"/>
    <w:rsid w:val="0001081E"/>
    <w:rsid w:val="00060F94"/>
    <w:rsid w:val="00086D8A"/>
    <w:rsid w:val="00110293"/>
    <w:rsid w:val="0011708B"/>
    <w:rsid w:val="00125FCD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2090"/>
    <w:rsid w:val="00496F3A"/>
    <w:rsid w:val="004C6C99"/>
    <w:rsid w:val="00566E21"/>
    <w:rsid w:val="005B5834"/>
    <w:rsid w:val="005D6424"/>
    <w:rsid w:val="005D72D9"/>
    <w:rsid w:val="005E0A4F"/>
    <w:rsid w:val="00605369"/>
    <w:rsid w:val="00623566"/>
    <w:rsid w:val="00650922"/>
    <w:rsid w:val="00666471"/>
    <w:rsid w:val="00695754"/>
    <w:rsid w:val="006B17CF"/>
    <w:rsid w:val="006E6080"/>
    <w:rsid w:val="007361FA"/>
    <w:rsid w:val="00754E11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58E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41F7F"/>
    <w:rsid w:val="00F55DE2"/>
    <w:rsid w:val="00F6079A"/>
    <w:rsid w:val="00F6556F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e">
    <w:name w:val="Table Grid"/>
    <w:basedOn w:val="a2"/>
    <w:uiPriority w:val="39"/>
    <w:rsid w:val="00754E11"/>
    <w:pPr>
      <w:spacing w:after="0" w:line="240" w:lineRule="auto"/>
    </w:pPr>
    <w:rPr>
      <w:rFonts w:ascii="Times New Roman" w:eastAsia="Times New Roman" w:hAnsi="Times New Roman" w:cs="Times New Roman"/>
      <w:sz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17</cp:revision>
  <cp:lastPrinted>2023-08-23T12:16:00Z</cp:lastPrinted>
  <dcterms:created xsi:type="dcterms:W3CDTF">2024-10-17T10:13:00Z</dcterms:created>
  <dcterms:modified xsi:type="dcterms:W3CDTF">2025-05-15T06:25:00Z</dcterms:modified>
</cp:coreProperties>
</file>