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F57540" w:rsidRDefault="003E7E91" w:rsidP="003E7E91">
      <w:pPr>
        <w:jc w:val="center"/>
        <w:rPr>
          <w:b/>
          <w:lang w:val="uk-UA"/>
        </w:rPr>
      </w:pPr>
      <w:r w:rsidRPr="00F57540">
        <w:rPr>
          <w:b/>
          <w:lang w:val="uk-UA"/>
        </w:rPr>
        <w:t xml:space="preserve">ПРОФІЛЬ </w:t>
      </w:r>
      <w:r w:rsidR="007C26CB" w:rsidRPr="00F57540">
        <w:rPr>
          <w:b/>
          <w:lang w:val="uk-UA"/>
        </w:rPr>
        <w:t>ПОСАДИ</w:t>
      </w:r>
    </w:p>
    <w:p w:rsidR="00E151B7" w:rsidRPr="00F57540" w:rsidRDefault="002D4E1B" w:rsidP="002D4E1B">
      <w:pPr>
        <w:jc w:val="center"/>
        <w:rPr>
          <w:lang w:val="uk-UA"/>
        </w:rPr>
      </w:pPr>
      <w:r w:rsidRPr="00F57540">
        <w:rPr>
          <w:lang w:val="uk-UA"/>
        </w:rPr>
        <w:t>головний державний інспектор</w:t>
      </w:r>
    </w:p>
    <w:p w:rsidR="00BB37D6" w:rsidRPr="00F57540" w:rsidRDefault="00CA7D91" w:rsidP="00CA7D91">
      <w:pPr>
        <w:jc w:val="center"/>
        <w:rPr>
          <w:lang w:val="uk-UA"/>
        </w:rPr>
      </w:pPr>
      <w:r w:rsidRPr="00F57540">
        <w:rPr>
          <w:lang w:val="uk-UA"/>
        </w:rPr>
        <w:t>відділу взаємодії з гарантами Департаменту авторизації, надання адміністративних послуг та контролю Державної митної служби України</w:t>
      </w:r>
      <w:r w:rsidRPr="00F57540">
        <w:rPr>
          <w:color w:val="FF0000"/>
          <w:lang w:val="uk-UA"/>
        </w:rPr>
        <w:t xml:space="preserve"> </w:t>
      </w:r>
    </w:p>
    <w:p w:rsidR="004A38CE" w:rsidRPr="00F57540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533"/>
        <w:gridCol w:w="1071"/>
        <w:gridCol w:w="3982"/>
        <w:gridCol w:w="1164"/>
      </w:tblGrid>
      <w:tr w:rsidR="007C4458" w:rsidRPr="00F57540" w:rsidTr="001518C1">
        <w:tc>
          <w:tcPr>
            <w:tcW w:w="10682" w:type="dxa"/>
            <w:gridSpan w:val="5"/>
            <w:shd w:val="clear" w:color="auto" w:fill="auto"/>
          </w:tcPr>
          <w:p w:rsidR="007C4458" w:rsidRPr="00F57540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F57540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F57540" w:rsidTr="001518C1">
        <w:tc>
          <w:tcPr>
            <w:tcW w:w="713" w:type="dxa"/>
            <w:shd w:val="clear" w:color="auto" w:fill="auto"/>
          </w:tcPr>
          <w:p w:rsidR="005C3C0A" w:rsidRPr="00F57540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5C3C0A" w:rsidRPr="00F57540" w:rsidRDefault="005C3C0A" w:rsidP="003331D8">
            <w:pPr>
              <w:rPr>
                <w:lang w:val="uk-UA"/>
              </w:rPr>
            </w:pPr>
            <w:r w:rsidRPr="00F5754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5C3C0A" w:rsidRPr="00F57540" w:rsidRDefault="006106A5" w:rsidP="00E151B7">
            <w:pPr>
              <w:rPr>
                <w:lang w:val="uk-UA"/>
              </w:rPr>
            </w:pPr>
            <w:r w:rsidRPr="00F57540">
              <w:rPr>
                <w:lang w:val="uk-UA"/>
              </w:rPr>
              <w:t>Державна митна служба України</w:t>
            </w:r>
          </w:p>
        </w:tc>
      </w:tr>
      <w:tr w:rsidR="008F0997" w:rsidRPr="00F57540" w:rsidTr="001518C1">
        <w:tc>
          <w:tcPr>
            <w:tcW w:w="713" w:type="dxa"/>
            <w:shd w:val="clear" w:color="auto" w:fill="auto"/>
          </w:tcPr>
          <w:p w:rsidR="008F0997" w:rsidRPr="00F57540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8F0997" w:rsidRPr="00F57540" w:rsidRDefault="008F0997" w:rsidP="003331D8">
            <w:pPr>
              <w:rPr>
                <w:lang w:val="uk-UA"/>
              </w:rPr>
            </w:pPr>
            <w:r w:rsidRPr="00F5754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E151B7" w:rsidRPr="00F57540" w:rsidRDefault="004C04FB" w:rsidP="00E151B7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>Відділ взаємодії з гарантами Департаменту авторизації, надання адміністративних послуг та контролю</w:t>
            </w:r>
          </w:p>
          <w:p w:rsidR="008F0997" w:rsidRPr="00F57540" w:rsidRDefault="00E151B7" w:rsidP="00E151B7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>Державної митної служби України</w:t>
            </w:r>
          </w:p>
        </w:tc>
      </w:tr>
      <w:tr w:rsidR="008F0997" w:rsidRPr="00F57540" w:rsidTr="001518C1">
        <w:tc>
          <w:tcPr>
            <w:tcW w:w="713" w:type="dxa"/>
            <w:shd w:val="clear" w:color="auto" w:fill="auto"/>
          </w:tcPr>
          <w:p w:rsidR="008F0997" w:rsidRPr="00F57540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8F0997" w:rsidRPr="00F57540" w:rsidRDefault="008F0997" w:rsidP="003331D8">
            <w:pPr>
              <w:rPr>
                <w:lang w:val="uk-UA"/>
              </w:rPr>
            </w:pPr>
            <w:r w:rsidRPr="00F57540">
              <w:rPr>
                <w:lang w:val="uk-UA"/>
              </w:rPr>
              <w:t>Найменування посади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F0997" w:rsidRPr="00F57540" w:rsidRDefault="00CC69DC" w:rsidP="004C04FB">
            <w:pPr>
              <w:jc w:val="both"/>
              <w:rPr>
                <w:lang w:val="uk-UA"/>
              </w:rPr>
            </w:pPr>
            <w:r w:rsidRPr="00F57540">
              <w:rPr>
                <w:bCs/>
                <w:lang w:val="uk-UA"/>
              </w:rPr>
              <w:t>Г</w:t>
            </w:r>
            <w:r w:rsidR="002D4E1B" w:rsidRPr="00F57540">
              <w:rPr>
                <w:bCs/>
                <w:lang w:val="uk-UA"/>
              </w:rPr>
              <w:t xml:space="preserve">оловний державний інспектор </w:t>
            </w:r>
            <w:r w:rsidR="004C04FB" w:rsidRPr="00F57540">
              <w:rPr>
                <w:bCs/>
                <w:lang w:val="uk-UA"/>
              </w:rPr>
              <w:t xml:space="preserve">відділу взаємодії з гарантами Департаменту авторизації, надання адміністративних послуг та контролю </w:t>
            </w:r>
            <w:r w:rsidR="00E151B7" w:rsidRPr="00F57540">
              <w:rPr>
                <w:lang w:val="uk-UA"/>
              </w:rPr>
              <w:t>Державної митної служби України</w:t>
            </w:r>
          </w:p>
        </w:tc>
      </w:tr>
      <w:tr w:rsidR="001C418D" w:rsidRPr="00F57540" w:rsidTr="001518C1">
        <w:tc>
          <w:tcPr>
            <w:tcW w:w="713" w:type="dxa"/>
            <w:shd w:val="clear" w:color="auto" w:fill="auto"/>
          </w:tcPr>
          <w:p w:rsidR="001C418D" w:rsidRPr="00F57540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607" w:type="dxa"/>
            <w:shd w:val="clear" w:color="auto" w:fill="auto"/>
          </w:tcPr>
          <w:p w:rsidR="001C418D" w:rsidRPr="00F57540" w:rsidRDefault="001C418D" w:rsidP="003331D8">
            <w:pPr>
              <w:rPr>
                <w:lang w:val="uk-UA"/>
              </w:rPr>
            </w:pPr>
            <w:r w:rsidRPr="00F57540">
              <w:rPr>
                <w:lang w:val="uk-UA"/>
              </w:rPr>
              <w:t>Категорія посади</w:t>
            </w:r>
          </w:p>
        </w:tc>
        <w:tc>
          <w:tcPr>
            <w:tcW w:w="1095" w:type="dxa"/>
            <w:shd w:val="clear" w:color="auto" w:fill="auto"/>
          </w:tcPr>
          <w:p w:rsidR="001C418D" w:rsidRPr="00F57540" w:rsidRDefault="002D4E1B" w:rsidP="001C418D">
            <w:pPr>
              <w:rPr>
                <w:lang w:val="uk-UA"/>
              </w:rPr>
            </w:pPr>
            <w:r w:rsidRPr="00F57540">
              <w:rPr>
                <w:lang w:val="uk-UA"/>
              </w:rPr>
              <w:t>В</w:t>
            </w:r>
          </w:p>
        </w:tc>
        <w:tc>
          <w:tcPr>
            <w:tcW w:w="4077" w:type="dxa"/>
            <w:shd w:val="clear" w:color="auto" w:fill="auto"/>
          </w:tcPr>
          <w:p w:rsidR="001C418D" w:rsidRPr="00F57540" w:rsidRDefault="001C418D" w:rsidP="00E151B7">
            <w:pPr>
              <w:jc w:val="both"/>
              <w:rPr>
                <w:bCs/>
                <w:lang w:val="uk-UA"/>
              </w:rPr>
            </w:pPr>
            <w:r w:rsidRPr="00F57540">
              <w:rPr>
                <w:bCs/>
                <w:lang w:val="uk-UA"/>
              </w:rPr>
              <w:t>Підкатегорія посади</w:t>
            </w:r>
          </w:p>
        </w:tc>
        <w:tc>
          <w:tcPr>
            <w:tcW w:w="1190" w:type="dxa"/>
            <w:shd w:val="clear" w:color="auto" w:fill="auto"/>
          </w:tcPr>
          <w:p w:rsidR="001C418D" w:rsidRPr="00F57540" w:rsidRDefault="002D4E1B" w:rsidP="00E151B7">
            <w:pPr>
              <w:jc w:val="both"/>
              <w:rPr>
                <w:bCs/>
                <w:lang w:val="en-US"/>
              </w:rPr>
            </w:pPr>
            <w:r w:rsidRPr="00F57540">
              <w:rPr>
                <w:bCs/>
                <w:lang w:val="uk-UA"/>
              </w:rPr>
              <w:t>В</w:t>
            </w:r>
            <w:r w:rsidR="002A46A7" w:rsidRPr="00F57540">
              <w:rPr>
                <w:bCs/>
                <w:lang w:val="en-US"/>
              </w:rPr>
              <w:t>1</w:t>
            </w:r>
          </w:p>
        </w:tc>
      </w:tr>
      <w:tr w:rsidR="008F0997" w:rsidRPr="00F57540" w:rsidTr="001518C1">
        <w:tc>
          <w:tcPr>
            <w:tcW w:w="713" w:type="dxa"/>
            <w:shd w:val="clear" w:color="auto" w:fill="auto"/>
          </w:tcPr>
          <w:p w:rsidR="008F0997" w:rsidRPr="00F57540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A321E6" w:rsidRPr="00F57540" w:rsidRDefault="008F0997" w:rsidP="00274E19">
            <w:pPr>
              <w:rPr>
                <w:caps/>
                <w:lang w:val="uk-UA"/>
              </w:rPr>
            </w:pPr>
            <w:r w:rsidRPr="00F57540">
              <w:rPr>
                <w:lang w:val="uk-UA"/>
              </w:rPr>
              <w:t>Мета посади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F0997" w:rsidRPr="00F57540" w:rsidRDefault="00CA7D91" w:rsidP="00D64193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>Участь у виконанні завдань, пов’язаних із реєстрацією гарантів, процедурою реєстрації гарантії або звільнення від гарантії та здійсненням контролю за їх застосуванням</w:t>
            </w:r>
          </w:p>
        </w:tc>
      </w:tr>
      <w:tr w:rsidR="001D1BEB" w:rsidRPr="00F57540" w:rsidTr="001518C1">
        <w:tc>
          <w:tcPr>
            <w:tcW w:w="713" w:type="dxa"/>
            <w:shd w:val="clear" w:color="auto" w:fill="auto"/>
          </w:tcPr>
          <w:p w:rsidR="001D1BEB" w:rsidRPr="00F57540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EC01AD" w:rsidRPr="00F57540" w:rsidRDefault="003E6ED5" w:rsidP="005C3229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>Посадові обов’язки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EA2BAC" w:rsidRPr="00F57540" w:rsidRDefault="00CA7D91" w:rsidP="00EA2BAC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F57540">
              <w:rPr>
                <w:rFonts w:eastAsia="Calibri"/>
                <w:bCs/>
                <w:lang w:val="uk-UA" w:eastAsia="en-US"/>
              </w:rPr>
              <w:t xml:space="preserve">Забезпечення виконання Конституції України, законів України, міжнародних договорів, згода на </w:t>
            </w:r>
            <w:r w:rsidR="00EA2BAC" w:rsidRPr="00F57540">
              <w:rPr>
                <w:rFonts w:eastAsia="Calibri"/>
                <w:bCs/>
                <w:lang w:val="uk-UA" w:eastAsia="en-US"/>
              </w:rPr>
              <w:t>обов’язковість яких надана Верховною Радою України, постанов Верховної Ради України, актів Президента України та Кабінету Міністрів України, нормативно-правових актів Міністерства фінансів України, розпорядчих документів Держмитслужби, інших актів законодавства України під час виконання своїх обов’язків.</w:t>
            </w:r>
          </w:p>
          <w:p w:rsidR="00041DD3" w:rsidRPr="00F57540" w:rsidRDefault="00EA2BAC" w:rsidP="00EA2BAC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F57540">
              <w:rPr>
                <w:rFonts w:eastAsia="Calibri"/>
                <w:bCs/>
                <w:lang w:val="uk-UA" w:eastAsia="en-US"/>
              </w:rPr>
              <w:t>Участь у розгляді заяв для прийняття рішень про реєстрацію гаранта, оцінці відповідності, моніторингу відповідності фінансової установ</w:t>
            </w:r>
            <w:r w:rsidR="00041DD3" w:rsidRPr="00F57540">
              <w:rPr>
                <w:rFonts w:eastAsia="Calibri"/>
                <w:bCs/>
                <w:lang w:val="uk-UA" w:eastAsia="en-US"/>
              </w:rPr>
              <w:t>и умовам надання статусу гаранта, реєстрації гаранта, зупиненні, скасуванні, анулюванні реєстрації гаранта, прийнятті рішень, передбачених Митним кодексом України щодо реєстрації гаранта.</w:t>
            </w:r>
          </w:p>
          <w:p w:rsidR="00041DD3" w:rsidRPr="00F57540" w:rsidRDefault="00041DD3" w:rsidP="00EA2BAC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F57540">
              <w:rPr>
                <w:rFonts w:eastAsia="Calibri"/>
                <w:bCs/>
                <w:lang w:val="uk-UA" w:eastAsia="en-US"/>
              </w:rPr>
              <w:t xml:space="preserve">Участь у веденні реєстру гарантів, його оновленні та оприлюдненні на офіційному </w:t>
            </w:r>
            <w:proofErr w:type="spellStart"/>
            <w:r w:rsidRPr="00F57540">
              <w:rPr>
                <w:rFonts w:eastAsia="Calibri"/>
                <w:bCs/>
                <w:lang w:val="uk-UA" w:eastAsia="en-US"/>
              </w:rPr>
              <w:t>вебсайті</w:t>
            </w:r>
            <w:proofErr w:type="spellEnd"/>
            <w:r w:rsidRPr="00F57540">
              <w:rPr>
                <w:rFonts w:eastAsia="Calibri"/>
                <w:bCs/>
                <w:lang w:val="uk-UA" w:eastAsia="en-US"/>
              </w:rPr>
              <w:t xml:space="preserve"> Держмитслужби.</w:t>
            </w:r>
          </w:p>
          <w:p w:rsidR="00D64193" w:rsidRPr="00F57540" w:rsidRDefault="00D64193" w:rsidP="00EA2BAC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F57540">
              <w:rPr>
                <w:rFonts w:eastAsia="Calibri"/>
                <w:bCs/>
                <w:lang w:val="uk-UA" w:eastAsia="en-US"/>
              </w:rPr>
              <w:t>Участь у процедурі прийняття та реєстрації гарантії, реєстрації звільнення від гарантії, супроводження відкликання та скасування реєстрації гарантії, скасування звільнення від гарантії, а також контролю за застосуванням гарантії, звільнення від гарантії та моніторингу базової суми загальної гарантії, звільнення від гарантії відповідно до Митного кодексу України,</w:t>
            </w:r>
          </w:p>
          <w:p w:rsidR="004D0D0E" w:rsidRPr="00F57540" w:rsidRDefault="00D64193" w:rsidP="00EA2BAC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F57540">
              <w:rPr>
                <w:rFonts w:eastAsia="Calibri"/>
                <w:bCs/>
                <w:lang w:val="uk-UA" w:eastAsia="en-US"/>
              </w:rPr>
              <w:t xml:space="preserve">Участь в опрацюванні </w:t>
            </w:r>
            <w:proofErr w:type="spellStart"/>
            <w:r w:rsidRPr="00F57540">
              <w:rPr>
                <w:rFonts w:eastAsia="Calibri"/>
                <w:bCs/>
                <w:lang w:val="uk-UA" w:eastAsia="en-US"/>
              </w:rPr>
              <w:t>проєктів</w:t>
            </w:r>
            <w:proofErr w:type="spellEnd"/>
            <w:r w:rsidRPr="00F57540">
              <w:rPr>
                <w:rFonts w:eastAsia="Calibri"/>
                <w:bCs/>
                <w:lang w:val="uk-UA" w:eastAsia="en-US"/>
              </w:rPr>
              <w:t xml:space="preserve"> законів України, актів Кабінету Міністрів України, нормативно-правових актів з питань, що належать до компетенції відділу</w:t>
            </w:r>
            <w:r w:rsidR="00985812" w:rsidRPr="00F57540">
              <w:rPr>
                <w:rFonts w:eastAsia="Calibri"/>
                <w:bCs/>
                <w:lang w:val="uk-UA" w:eastAsia="en-US"/>
              </w:rPr>
              <w:t xml:space="preserve"> взаємодії з гарантами (далі – Відділ)</w:t>
            </w:r>
            <w:r w:rsidRPr="00F57540">
              <w:rPr>
                <w:rFonts w:eastAsia="Calibri"/>
                <w:bCs/>
                <w:lang w:val="uk-UA" w:eastAsia="en-US"/>
              </w:rPr>
              <w:t xml:space="preserve"> та участь у розробці </w:t>
            </w:r>
            <w:proofErr w:type="spellStart"/>
            <w:r w:rsidRPr="00F57540">
              <w:rPr>
                <w:rFonts w:eastAsia="Calibri"/>
                <w:bCs/>
                <w:lang w:val="uk-UA" w:eastAsia="en-US"/>
              </w:rPr>
              <w:t>проєктів</w:t>
            </w:r>
            <w:proofErr w:type="spellEnd"/>
            <w:r w:rsidR="004D0D0E" w:rsidRPr="00F57540">
              <w:rPr>
                <w:rFonts w:eastAsia="Calibri"/>
                <w:bCs/>
                <w:lang w:val="uk-UA" w:eastAsia="en-US"/>
              </w:rPr>
              <w:t xml:space="preserve"> </w:t>
            </w:r>
            <w:r w:rsidRPr="00F57540">
              <w:rPr>
                <w:rFonts w:eastAsia="Calibri"/>
                <w:bCs/>
                <w:lang w:val="uk-UA" w:eastAsia="en-US"/>
              </w:rPr>
              <w:lastRenderedPageBreak/>
              <w:t>нормативно-</w:t>
            </w:r>
            <w:r w:rsidR="004D0D0E" w:rsidRPr="00F57540">
              <w:rPr>
                <w:rFonts w:eastAsia="Calibri"/>
                <w:bCs/>
                <w:lang w:val="uk-UA" w:eastAsia="en-US"/>
              </w:rPr>
              <w:t xml:space="preserve">правових актів, інших </w:t>
            </w:r>
            <w:proofErr w:type="spellStart"/>
            <w:r w:rsidR="004D0D0E" w:rsidRPr="00F57540">
              <w:rPr>
                <w:rFonts w:eastAsia="Calibri"/>
                <w:bCs/>
                <w:lang w:val="uk-UA" w:eastAsia="en-US"/>
              </w:rPr>
              <w:t>проєктів</w:t>
            </w:r>
            <w:proofErr w:type="spellEnd"/>
            <w:r w:rsidR="004D0D0E" w:rsidRPr="00F57540">
              <w:rPr>
                <w:rFonts w:eastAsia="Calibri"/>
                <w:bCs/>
                <w:lang w:val="uk-UA" w:eastAsia="en-US"/>
              </w:rPr>
              <w:t xml:space="preserve"> актів та матеріалів до них з питань, що стосуються діяльності </w:t>
            </w:r>
            <w:r w:rsidR="00985812" w:rsidRPr="00F57540">
              <w:rPr>
                <w:rFonts w:eastAsia="Calibri"/>
                <w:bCs/>
                <w:lang w:val="uk-UA" w:eastAsia="en-US"/>
              </w:rPr>
              <w:t>В</w:t>
            </w:r>
            <w:r w:rsidR="004D0D0E" w:rsidRPr="00F57540">
              <w:rPr>
                <w:rFonts w:eastAsia="Calibri"/>
                <w:bCs/>
                <w:lang w:val="uk-UA" w:eastAsia="en-US"/>
              </w:rPr>
              <w:t>ідділу.</w:t>
            </w:r>
          </w:p>
          <w:p w:rsidR="004D0D0E" w:rsidRPr="00F57540" w:rsidRDefault="004D0D0E" w:rsidP="00EA2BAC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F57540">
              <w:rPr>
                <w:rFonts w:eastAsia="Calibri"/>
                <w:bCs/>
                <w:lang w:val="uk-UA" w:eastAsia="en-US"/>
              </w:rPr>
              <w:t>Участь в опрацюванні звернень (запитів) громадян, народних депутатів України, платників податків, органів державної влади, правоохоронних органів, органів судової влади та інших суб’єктів права на звернення з питань пов’язаних з діяльністю Держмитслужби, адвокатських запитів, запитів н</w:t>
            </w:r>
            <w:r w:rsidR="00BE3230" w:rsidRPr="00F57540">
              <w:rPr>
                <w:rFonts w:eastAsia="Calibri"/>
                <w:bCs/>
                <w:lang w:val="uk-UA" w:eastAsia="en-US"/>
              </w:rPr>
              <w:t xml:space="preserve">а отримання публічної інформації з питань, що належать до компетенції </w:t>
            </w:r>
            <w:r w:rsidR="00985812" w:rsidRPr="00F57540">
              <w:rPr>
                <w:rFonts w:eastAsia="Calibri"/>
                <w:bCs/>
                <w:lang w:val="uk-UA" w:eastAsia="en-US"/>
              </w:rPr>
              <w:t>В</w:t>
            </w:r>
            <w:r w:rsidR="00BE3230" w:rsidRPr="00F57540">
              <w:rPr>
                <w:rFonts w:eastAsia="Calibri"/>
                <w:bCs/>
                <w:lang w:val="uk-UA" w:eastAsia="en-US"/>
              </w:rPr>
              <w:t>ідділу.</w:t>
            </w:r>
          </w:p>
          <w:p w:rsidR="00BE3230" w:rsidRPr="00F57540" w:rsidRDefault="00BE3230" w:rsidP="00EA2BAC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F57540">
              <w:rPr>
                <w:rFonts w:eastAsia="Calibri"/>
                <w:bCs/>
                <w:lang w:val="uk-UA" w:eastAsia="en-US"/>
              </w:rPr>
              <w:t>Надання територіальним органам Держмитслужби методичної та практичної допомоги з питань, що н</w:t>
            </w:r>
            <w:r w:rsidR="00BE13FB" w:rsidRPr="00F57540">
              <w:rPr>
                <w:rFonts w:eastAsia="Calibri"/>
                <w:bCs/>
                <w:lang w:val="uk-UA" w:eastAsia="en-US"/>
              </w:rPr>
              <w:t>а</w:t>
            </w:r>
            <w:r w:rsidRPr="00F57540">
              <w:rPr>
                <w:rFonts w:eastAsia="Calibri"/>
                <w:bCs/>
                <w:lang w:val="uk-UA" w:eastAsia="en-US"/>
              </w:rPr>
              <w:t xml:space="preserve">лежать компетенції </w:t>
            </w:r>
            <w:r w:rsidR="00985812" w:rsidRPr="00F57540">
              <w:rPr>
                <w:rFonts w:eastAsia="Calibri"/>
                <w:bCs/>
                <w:lang w:val="uk-UA" w:eastAsia="en-US"/>
              </w:rPr>
              <w:t>В</w:t>
            </w:r>
            <w:r w:rsidRPr="00F57540">
              <w:rPr>
                <w:rFonts w:eastAsia="Calibri"/>
                <w:bCs/>
                <w:lang w:val="uk-UA" w:eastAsia="en-US"/>
              </w:rPr>
              <w:t>ідділу</w:t>
            </w:r>
            <w:r w:rsidR="00BE13FB" w:rsidRPr="00F57540">
              <w:rPr>
                <w:rFonts w:eastAsia="Calibri"/>
                <w:bCs/>
                <w:lang w:val="uk-UA" w:eastAsia="en-US"/>
              </w:rPr>
              <w:t>.</w:t>
            </w:r>
          </w:p>
          <w:p w:rsidR="00BE13FB" w:rsidRPr="00F57540" w:rsidRDefault="00BE13FB" w:rsidP="00EA2BAC">
            <w:pPr>
              <w:jc w:val="both"/>
              <w:rPr>
                <w:rFonts w:eastAsia="Calibri"/>
                <w:bCs/>
                <w:lang w:val="uk-UA" w:eastAsia="en-US"/>
              </w:rPr>
            </w:pPr>
            <w:r w:rsidRPr="00F57540">
              <w:rPr>
                <w:rFonts w:eastAsia="Calibri"/>
                <w:bCs/>
                <w:lang w:val="uk-UA" w:eastAsia="en-US"/>
              </w:rPr>
              <w:t xml:space="preserve">Підготовка інформаційних, аналітичних та довідкових матеріалів за напрямом роботи </w:t>
            </w:r>
            <w:r w:rsidR="00985812" w:rsidRPr="00F57540">
              <w:rPr>
                <w:rFonts w:eastAsia="Calibri"/>
                <w:bCs/>
                <w:lang w:val="uk-UA" w:eastAsia="en-US"/>
              </w:rPr>
              <w:t>В</w:t>
            </w:r>
            <w:r w:rsidRPr="00F57540">
              <w:rPr>
                <w:rFonts w:eastAsia="Calibri"/>
                <w:bCs/>
                <w:lang w:val="uk-UA" w:eastAsia="en-US"/>
              </w:rPr>
              <w:t>ідділу.</w:t>
            </w:r>
          </w:p>
          <w:p w:rsidR="002D4E1B" w:rsidRPr="00F57540" w:rsidRDefault="00BE13FB" w:rsidP="00985812">
            <w:pPr>
              <w:jc w:val="both"/>
              <w:rPr>
                <w:lang w:val="uk-UA"/>
              </w:rPr>
            </w:pPr>
            <w:r w:rsidRPr="00F57540">
              <w:rPr>
                <w:rFonts w:eastAsia="Calibri"/>
                <w:bCs/>
                <w:lang w:val="uk-UA" w:eastAsia="en-US"/>
              </w:rPr>
              <w:t xml:space="preserve">Дотримання встановлених термінів та належної якості виконання документів і доручень керівництва Держмитслужби, Департаменту авторизації, надання адміністративних послуг та контролю, </w:t>
            </w:r>
            <w:r w:rsidR="00985812" w:rsidRPr="00F57540">
              <w:rPr>
                <w:rFonts w:eastAsia="Calibri"/>
                <w:bCs/>
                <w:lang w:val="uk-UA" w:eastAsia="en-US"/>
              </w:rPr>
              <w:t>В</w:t>
            </w:r>
            <w:r w:rsidRPr="00F57540">
              <w:rPr>
                <w:rFonts w:eastAsia="Calibri"/>
                <w:bCs/>
                <w:lang w:val="uk-UA" w:eastAsia="en-US"/>
              </w:rPr>
              <w:t>ідділу.</w:t>
            </w:r>
            <w:r w:rsidR="004D0D0E" w:rsidRPr="00F57540">
              <w:rPr>
                <w:rFonts w:eastAsia="Calibri"/>
                <w:bCs/>
                <w:lang w:val="uk-UA" w:eastAsia="en-US"/>
              </w:rPr>
              <w:t xml:space="preserve"> </w:t>
            </w:r>
            <w:r w:rsidR="00041DD3" w:rsidRPr="00F57540">
              <w:rPr>
                <w:rFonts w:eastAsia="Calibri"/>
                <w:bCs/>
                <w:lang w:val="uk-UA" w:eastAsia="en-US"/>
              </w:rPr>
              <w:t xml:space="preserve"> </w:t>
            </w:r>
          </w:p>
        </w:tc>
      </w:tr>
      <w:tr w:rsidR="007C4458" w:rsidRPr="00F57540" w:rsidTr="001518C1">
        <w:tc>
          <w:tcPr>
            <w:tcW w:w="10682" w:type="dxa"/>
            <w:gridSpan w:val="5"/>
            <w:shd w:val="clear" w:color="auto" w:fill="auto"/>
          </w:tcPr>
          <w:p w:rsidR="007C4458" w:rsidRPr="00F57540" w:rsidRDefault="007C4458" w:rsidP="007C4458">
            <w:pPr>
              <w:jc w:val="center"/>
              <w:rPr>
                <w:lang w:val="uk-UA"/>
              </w:rPr>
            </w:pPr>
            <w:r w:rsidRPr="00F57540">
              <w:rPr>
                <w:b/>
                <w:lang w:val="uk-UA"/>
              </w:rPr>
              <w:lastRenderedPageBreak/>
              <w:t xml:space="preserve">ІІ. </w:t>
            </w:r>
            <w:r w:rsidRPr="00F57540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0E7E3C" w:rsidRPr="00F57540" w:rsidTr="001518C1">
        <w:tc>
          <w:tcPr>
            <w:tcW w:w="10682" w:type="dxa"/>
            <w:gridSpan w:val="5"/>
            <w:shd w:val="clear" w:color="auto" w:fill="auto"/>
          </w:tcPr>
          <w:p w:rsidR="000E7E3C" w:rsidRPr="00F57540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F57540">
              <w:rPr>
                <w:lang w:val="uk-UA"/>
              </w:rPr>
              <w:t>Загальні вимоги</w:t>
            </w:r>
          </w:p>
        </w:tc>
      </w:tr>
      <w:tr w:rsidR="001518C1" w:rsidRPr="00F57540" w:rsidTr="001518C1">
        <w:trPr>
          <w:trHeight w:val="348"/>
        </w:trPr>
        <w:tc>
          <w:tcPr>
            <w:tcW w:w="713" w:type="dxa"/>
            <w:shd w:val="clear" w:color="auto" w:fill="auto"/>
          </w:tcPr>
          <w:p w:rsidR="001518C1" w:rsidRPr="00F57540" w:rsidRDefault="001518C1" w:rsidP="001518C1">
            <w:pPr>
              <w:rPr>
                <w:lang w:val="uk-UA"/>
              </w:rPr>
            </w:pPr>
            <w:r w:rsidRPr="00F57540">
              <w:rPr>
                <w:lang w:val="uk-UA"/>
              </w:rPr>
              <w:t>1.1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1518C1" w:rsidRPr="00F57540" w:rsidRDefault="001518C1" w:rsidP="001518C1">
            <w:pPr>
              <w:rPr>
                <w:lang w:val="uk-UA"/>
              </w:rPr>
            </w:pPr>
            <w:r w:rsidRPr="00F57540">
              <w:rPr>
                <w:lang w:val="uk-UA"/>
              </w:rPr>
              <w:t>Освіта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1518C1" w:rsidRPr="00F57540" w:rsidRDefault="001518C1" w:rsidP="001518C1">
            <w:pPr>
              <w:rPr>
                <w:lang w:val="uk-UA"/>
              </w:rPr>
            </w:pPr>
            <w:r w:rsidRPr="00F57540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1518C1" w:rsidRPr="00F57540" w:rsidTr="001518C1">
        <w:trPr>
          <w:trHeight w:val="380"/>
        </w:trPr>
        <w:tc>
          <w:tcPr>
            <w:tcW w:w="713" w:type="dxa"/>
            <w:shd w:val="clear" w:color="auto" w:fill="auto"/>
          </w:tcPr>
          <w:p w:rsidR="001518C1" w:rsidRPr="00F57540" w:rsidRDefault="001518C1" w:rsidP="001518C1">
            <w:pPr>
              <w:rPr>
                <w:lang w:val="uk-UA"/>
              </w:rPr>
            </w:pPr>
            <w:r w:rsidRPr="00F57540">
              <w:rPr>
                <w:caps/>
                <w:lang w:val="uk-UA"/>
              </w:rPr>
              <w:t>1.2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1518C1" w:rsidRPr="00F57540" w:rsidRDefault="001518C1" w:rsidP="001518C1">
            <w:pPr>
              <w:rPr>
                <w:lang w:val="uk-UA"/>
              </w:rPr>
            </w:pPr>
            <w:r w:rsidRPr="00F57540">
              <w:rPr>
                <w:lang w:val="uk-UA"/>
              </w:rPr>
              <w:t>Досвід роботи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1518C1" w:rsidRPr="00F57540" w:rsidRDefault="001518C1" w:rsidP="001518C1">
            <w:pPr>
              <w:jc w:val="both"/>
              <w:rPr>
                <w:lang w:val="uk-UA"/>
              </w:rPr>
            </w:pPr>
            <w:r w:rsidRPr="00F57540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8F0997" w:rsidRPr="00F57540" w:rsidTr="001518C1">
        <w:tc>
          <w:tcPr>
            <w:tcW w:w="713" w:type="dxa"/>
            <w:shd w:val="clear" w:color="auto" w:fill="auto"/>
          </w:tcPr>
          <w:p w:rsidR="008F0997" w:rsidRPr="00F57540" w:rsidRDefault="009447DD" w:rsidP="00FC6E60">
            <w:pPr>
              <w:rPr>
                <w:caps/>
                <w:lang w:val="uk-UA"/>
              </w:rPr>
            </w:pPr>
            <w:r w:rsidRPr="00F57540">
              <w:rPr>
                <w:caps/>
                <w:lang w:val="uk-UA"/>
              </w:rPr>
              <w:t>1.</w:t>
            </w:r>
            <w:r w:rsidR="00FC6E60" w:rsidRPr="00F57540">
              <w:rPr>
                <w:caps/>
                <w:lang w:val="en-US"/>
              </w:rPr>
              <w:t>3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0E7E3C" w:rsidRPr="00F57540" w:rsidRDefault="000E7E3C" w:rsidP="00274E19">
            <w:pPr>
              <w:jc w:val="both"/>
              <w:rPr>
                <w:caps/>
                <w:lang w:val="uk-UA"/>
              </w:rPr>
            </w:pPr>
            <w:r w:rsidRPr="00F57540">
              <w:rPr>
                <w:lang w:val="uk-UA"/>
              </w:rPr>
              <w:t>Володіння державною мовою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8F0997" w:rsidRPr="00F57540" w:rsidRDefault="00CC69DC" w:rsidP="007F2A40">
            <w:pPr>
              <w:jc w:val="both"/>
              <w:rPr>
                <w:lang w:val="uk-UA"/>
              </w:rPr>
            </w:pPr>
            <w:r w:rsidRPr="00F57540">
              <w:rPr>
                <w:color w:val="333333"/>
                <w:shd w:val="clear" w:color="auto" w:fill="FFFFFF"/>
                <w:lang w:val="uk-UA"/>
              </w:rPr>
              <w:t>В</w:t>
            </w:r>
            <w:r w:rsidR="00B41DDF" w:rsidRPr="00F57540">
              <w:rPr>
                <w:color w:val="333333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0E093F" w:rsidRPr="00F57540" w:rsidTr="001518C1">
        <w:tc>
          <w:tcPr>
            <w:tcW w:w="713" w:type="dxa"/>
            <w:shd w:val="clear" w:color="auto" w:fill="auto"/>
          </w:tcPr>
          <w:p w:rsidR="000E093F" w:rsidRPr="00F57540" w:rsidRDefault="000E093F" w:rsidP="00FC6E60">
            <w:pPr>
              <w:rPr>
                <w:caps/>
                <w:lang w:val="uk-UA"/>
              </w:rPr>
            </w:pPr>
            <w:r w:rsidRPr="00F57540">
              <w:rPr>
                <w:caps/>
                <w:lang w:val="uk-UA"/>
              </w:rPr>
              <w:t>1.4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0E093F" w:rsidRPr="00F57540" w:rsidRDefault="000E093F" w:rsidP="00591B10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>Володіння іноземною мово</w:t>
            </w:r>
            <w:r w:rsidR="00591B10" w:rsidRPr="00F57540">
              <w:rPr>
                <w:lang w:val="uk-UA"/>
              </w:rPr>
              <w:t>ю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0E093F" w:rsidRPr="00F57540" w:rsidRDefault="00CC69DC" w:rsidP="007221EF">
            <w:pPr>
              <w:jc w:val="both"/>
              <w:rPr>
                <w:lang w:val="uk-UA"/>
              </w:rPr>
            </w:pPr>
            <w:r w:rsidRPr="00F57540">
              <w:rPr>
                <w:rStyle w:val="spanrvts0"/>
                <w:lang w:val="uk-UA" w:eastAsia="uk-UA"/>
              </w:rPr>
              <w:t>В</w:t>
            </w:r>
            <w:r w:rsidR="007221EF" w:rsidRPr="00F57540">
              <w:rPr>
                <w:rStyle w:val="spanrvts0"/>
                <w:lang w:val="uk-UA" w:eastAsia="uk-UA"/>
              </w:rPr>
              <w:t>олодіння англійською мовою</w:t>
            </w:r>
            <w:r w:rsidR="00591B10" w:rsidRPr="00F57540">
              <w:rPr>
                <w:rStyle w:val="spanrvts0"/>
                <w:lang w:val="uk-UA" w:eastAsia="uk-UA"/>
              </w:rPr>
              <w:t xml:space="preserve"> </w:t>
            </w:r>
            <w:r w:rsidR="00E532E8" w:rsidRPr="00F57540">
              <w:rPr>
                <w:rStyle w:val="spanrvts0"/>
                <w:lang w:val="uk-UA" w:eastAsia="uk-UA"/>
              </w:rPr>
              <w:t>є додатковою перевагою</w:t>
            </w:r>
          </w:p>
        </w:tc>
      </w:tr>
      <w:tr w:rsidR="007C26CB" w:rsidRPr="00F57540" w:rsidTr="001518C1">
        <w:tc>
          <w:tcPr>
            <w:tcW w:w="713" w:type="dxa"/>
            <w:shd w:val="clear" w:color="auto" w:fill="auto"/>
          </w:tcPr>
          <w:p w:rsidR="007C26CB" w:rsidRPr="00F57540" w:rsidRDefault="000E093F" w:rsidP="00FC6E60">
            <w:pPr>
              <w:rPr>
                <w:caps/>
                <w:lang w:val="uk-UA"/>
              </w:rPr>
            </w:pPr>
            <w:r w:rsidRPr="00F57540">
              <w:rPr>
                <w:caps/>
                <w:lang w:val="uk-UA"/>
              </w:rPr>
              <w:t>1.5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0E7E3C" w:rsidRPr="00F57540" w:rsidRDefault="007C26CB" w:rsidP="00274E19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>Інформація про строковість призначення на посаду</w:t>
            </w:r>
            <w:r w:rsidR="00B41DDF" w:rsidRPr="00F57540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7C26CB" w:rsidRPr="00F57540" w:rsidRDefault="007D60F8" w:rsidP="007D60F8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F57540" w:rsidTr="001518C1">
        <w:tc>
          <w:tcPr>
            <w:tcW w:w="10682" w:type="dxa"/>
            <w:gridSpan w:val="5"/>
            <w:shd w:val="clear" w:color="auto" w:fill="auto"/>
          </w:tcPr>
          <w:p w:rsidR="000E7E3C" w:rsidRPr="00F57540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F57540">
              <w:rPr>
                <w:lang w:val="uk-UA"/>
              </w:rPr>
              <w:t>Спеціальні вимоги</w:t>
            </w:r>
          </w:p>
        </w:tc>
      </w:tr>
      <w:tr w:rsidR="00CC69DC" w:rsidRPr="00F57540" w:rsidTr="001518C1">
        <w:tc>
          <w:tcPr>
            <w:tcW w:w="713" w:type="dxa"/>
            <w:shd w:val="clear" w:color="auto" w:fill="auto"/>
          </w:tcPr>
          <w:p w:rsidR="00CC69DC" w:rsidRPr="00F57540" w:rsidRDefault="00CC69DC" w:rsidP="00CC69DC">
            <w:pPr>
              <w:rPr>
                <w:caps/>
                <w:lang w:val="uk-UA"/>
              </w:rPr>
            </w:pPr>
            <w:r w:rsidRPr="00F57540">
              <w:rPr>
                <w:caps/>
                <w:lang w:val="uk-UA"/>
              </w:rPr>
              <w:t>2.1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F57540" w:rsidRDefault="00CC69DC" w:rsidP="00CC69DC">
            <w:pPr>
              <w:rPr>
                <w:caps/>
                <w:lang w:val="uk-UA"/>
              </w:rPr>
            </w:pPr>
            <w:r w:rsidRPr="00F57540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F57540" w:rsidRDefault="00880557" w:rsidP="00CC69DC">
            <w:pPr>
              <w:rPr>
                <w:color w:val="FF0000"/>
                <w:lang w:val="uk-UA"/>
              </w:rPr>
            </w:pPr>
            <w:r w:rsidRPr="00F57540">
              <w:rPr>
                <w:color w:val="FF0000"/>
                <w:lang w:val="uk-UA"/>
              </w:rPr>
              <w:t>-</w:t>
            </w:r>
          </w:p>
        </w:tc>
      </w:tr>
      <w:tr w:rsidR="00CC69DC" w:rsidRPr="00F57540" w:rsidTr="001518C1">
        <w:tc>
          <w:tcPr>
            <w:tcW w:w="713" w:type="dxa"/>
            <w:shd w:val="clear" w:color="auto" w:fill="auto"/>
          </w:tcPr>
          <w:p w:rsidR="00CC69DC" w:rsidRPr="00F57540" w:rsidRDefault="00CC69DC" w:rsidP="00CC69DC">
            <w:pPr>
              <w:rPr>
                <w:caps/>
                <w:lang w:val="uk-UA"/>
              </w:rPr>
            </w:pPr>
            <w:r w:rsidRPr="00F57540">
              <w:rPr>
                <w:caps/>
                <w:lang w:val="uk-UA"/>
              </w:rPr>
              <w:t>2.2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F57540" w:rsidRDefault="00CC69DC" w:rsidP="00CC69DC">
            <w:pPr>
              <w:rPr>
                <w:caps/>
                <w:lang w:val="uk-UA"/>
              </w:rPr>
            </w:pPr>
            <w:r w:rsidRPr="00F57540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F57540" w:rsidRDefault="00880557" w:rsidP="00CC69DC">
            <w:pPr>
              <w:rPr>
                <w:lang w:val="uk-UA"/>
              </w:rPr>
            </w:pPr>
            <w:r w:rsidRPr="00F57540">
              <w:rPr>
                <w:lang w:val="uk-UA"/>
              </w:rPr>
              <w:t>-</w:t>
            </w:r>
          </w:p>
        </w:tc>
      </w:tr>
      <w:tr w:rsidR="00CC69DC" w:rsidRPr="00F57540" w:rsidTr="001518C1">
        <w:tc>
          <w:tcPr>
            <w:tcW w:w="713" w:type="dxa"/>
            <w:shd w:val="clear" w:color="auto" w:fill="auto"/>
          </w:tcPr>
          <w:p w:rsidR="00CC69DC" w:rsidRPr="00F57540" w:rsidRDefault="00CC69DC" w:rsidP="00CC69DC">
            <w:pPr>
              <w:rPr>
                <w:caps/>
                <w:lang w:val="uk-UA"/>
              </w:rPr>
            </w:pPr>
            <w:r w:rsidRPr="00F57540">
              <w:rPr>
                <w:lang w:val="uk-UA"/>
              </w:rPr>
              <w:t>2.3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F57540" w:rsidRDefault="00CC69DC" w:rsidP="00CC69DC">
            <w:pPr>
              <w:rPr>
                <w:lang w:val="uk-UA"/>
              </w:rPr>
            </w:pPr>
            <w:r w:rsidRPr="00F57540">
              <w:rPr>
                <w:lang w:val="uk-UA"/>
              </w:rPr>
              <w:t>Вимоги до компетентностей: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F57540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F57540" w:rsidTr="001518C1">
        <w:tc>
          <w:tcPr>
            <w:tcW w:w="713" w:type="dxa"/>
            <w:shd w:val="clear" w:color="auto" w:fill="auto"/>
          </w:tcPr>
          <w:p w:rsidR="00CC69DC" w:rsidRPr="00F57540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C" w:rsidRPr="00F57540" w:rsidRDefault="00CC69DC" w:rsidP="00CC69DC">
            <w:pPr>
              <w:rPr>
                <w:lang w:val="uk-UA"/>
              </w:rPr>
            </w:pPr>
            <w:r w:rsidRPr="00F57540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45E28" w:rsidRPr="00F57540" w:rsidRDefault="00C45E28" w:rsidP="00476F75">
            <w:pPr>
              <w:rPr>
                <w:lang w:val="uk-UA"/>
              </w:rPr>
            </w:pPr>
            <w:r w:rsidRPr="00F57540">
              <w:rPr>
                <w:lang w:val="uk-UA"/>
              </w:rPr>
              <w:t>Авторизації</w:t>
            </w:r>
          </w:p>
          <w:p w:rsidR="00476F75" w:rsidRPr="00F57540" w:rsidRDefault="00476F75" w:rsidP="00476F75">
            <w:pPr>
              <w:rPr>
                <w:lang w:val="uk-UA"/>
              </w:rPr>
            </w:pPr>
            <w:r w:rsidRPr="00F57540">
              <w:rPr>
                <w:lang w:val="uk-UA"/>
              </w:rPr>
              <w:t>Митні процедури</w:t>
            </w:r>
          </w:p>
          <w:p w:rsidR="00476F75" w:rsidRPr="00F57540" w:rsidRDefault="00476F75" w:rsidP="00476F75">
            <w:pPr>
              <w:rPr>
                <w:lang w:val="uk-UA"/>
              </w:rPr>
            </w:pPr>
            <w:r w:rsidRPr="00F57540">
              <w:rPr>
                <w:lang w:val="uk-UA"/>
              </w:rPr>
              <w:t>Транзитна процедура</w:t>
            </w:r>
          </w:p>
          <w:p w:rsidR="00CC69DC" w:rsidRPr="00F57540" w:rsidRDefault="00476F75" w:rsidP="00476F75">
            <w:pPr>
              <w:rPr>
                <w:color w:val="FF0000"/>
                <w:lang w:val="uk-UA"/>
              </w:rPr>
            </w:pPr>
            <w:r w:rsidRPr="00F57540">
              <w:rPr>
                <w:lang w:val="uk-UA"/>
              </w:rPr>
              <w:t>Підтримка митниці (організаційне забезпечення)</w:t>
            </w:r>
          </w:p>
        </w:tc>
      </w:tr>
      <w:tr w:rsidR="00CC69DC" w:rsidRPr="00F57540" w:rsidTr="001518C1">
        <w:tc>
          <w:tcPr>
            <w:tcW w:w="713" w:type="dxa"/>
            <w:shd w:val="clear" w:color="auto" w:fill="auto"/>
          </w:tcPr>
          <w:p w:rsidR="00CC69DC" w:rsidRPr="00F57540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F57540" w:rsidRDefault="00CC69DC" w:rsidP="00CC69DC">
            <w:pPr>
              <w:rPr>
                <w:lang w:val="uk-UA"/>
              </w:rPr>
            </w:pPr>
            <w:r w:rsidRPr="00F57540">
              <w:rPr>
                <w:lang w:val="uk-UA"/>
              </w:rPr>
              <w:t>2. Управлінські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F57540" w:rsidRDefault="00CC69DC" w:rsidP="00CC69DC">
            <w:pPr>
              <w:jc w:val="both"/>
              <w:rPr>
                <w:color w:val="FF0000"/>
                <w:lang w:val="uk-UA"/>
              </w:rPr>
            </w:pPr>
          </w:p>
        </w:tc>
      </w:tr>
      <w:tr w:rsidR="00CC69DC" w:rsidRPr="00F57540" w:rsidTr="001518C1">
        <w:tc>
          <w:tcPr>
            <w:tcW w:w="713" w:type="dxa"/>
            <w:shd w:val="clear" w:color="auto" w:fill="auto"/>
          </w:tcPr>
          <w:p w:rsidR="00CC69DC" w:rsidRPr="00F57540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F57540" w:rsidRDefault="00CC69DC" w:rsidP="00CC69DC">
            <w:pPr>
              <w:rPr>
                <w:lang w:val="uk-UA"/>
              </w:rPr>
            </w:pPr>
            <w:r w:rsidRPr="00F57540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F57540" w:rsidRDefault="00476F75" w:rsidP="00CC69DC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 xml:space="preserve">Аналітичні здібності </w:t>
            </w:r>
          </w:p>
          <w:p w:rsidR="00C30594" w:rsidRPr="00F57540" w:rsidRDefault="00F57540" w:rsidP="00F575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476F75" w:rsidRPr="00F57540">
              <w:rPr>
                <w:lang w:val="uk-UA"/>
              </w:rPr>
              <w:t xml:space="preserve">омандна робота </w:t>
            </w:r>
            <w:bookmarkStart w:id="0" w:name="_GoBack"/>
            <w:bookmarkEnd w:id="0"/>
          </w:p>
        </w:tc>
      </w:tr>
      <w:tr w:rsidR="00CC69DC" w:rsidRPr="00F57540" w:rsidTr="001518C1">
        <w:tc>
          <w:tcPr>
            <w:tcW w:w="713" w:type="dxa"/>
            <w:shd w:val="clear" w:color="auto" w:fill="auto"/>
          </w:tcPr>
          <w:p w:rsidR="00CC69DC" w:rsidRPr="00F57540" w:rsidRDefault="00CC69DC" w:rsidP="00CC69DC">
            <w:pPr>
              <w:rPr>
                <w:lang w:val="uk-UA"/>
              </w:rPr>
            </w:pPr>
            <w:r w:rsidRPr="00F57540">
              <w:rPr>
                <w:lang w:val="uk-UA"/>
              </w:rPr>
              <w:t>2.4</w:t>
            </w: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F57540" w:rsidRDefault="00CC69DC" w:rsidP="00CC69DC">
            <w:pPr>
              <w:rPr>
                <w:lang w:val="uk-UA"/>
              </w:rPr>
            </w:pPr>
            <w:r w:rsidRPr="00F57540">
              <w:rPr>
                <w:lang w:val="uk-UA"/>
              </w:rPr>
              <w:t>Професійні знання: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CC69DC" w:rsidRPr="00F57540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F57540" w:rsidTr="001518C1">
        <w:tc>
          <w:tcPr>
            <w:tcW w:w="713" w:type="dxa"/>
            <w:shd w:val="clear" w:color="auto" w:fill="auto"/>
          </w:tcPr>
          <w:p w:rsidR="00CC69DC" w:rsidRPr="00F57540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F57540" w:rsidRDefault="00CC69DC" w:rsidP="00CC69DC">
            <w:pPr>
              <w:rPr>
                <w:lang w:val="uk-UA"/>
              </w:rPr>
            </w:pPr>
            <w:r w:rsidRPr="00F57540">
              <w:rPr>
                <w:lang w:val="uk-UA"/>
              </w:rPr>
              <w:t xml:space="preserve">1. Знання законодавства </w:t>
            </w:r>
          </w:p>
          <w:p w:rsidR="00CC69DC" w:rsidRPr="00F57540" w:rsidRDefault="00CC69DC" w:rsidP="00CC69DC">
            <w:pPr>
              <w:rPr>
                <w:lang w:val="uk-UA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F57540" w:rsidRDefault="00CC69DC" w:rsidP="00CC69DC">
            <w:pPr>
              <w:jc w:val="both"/>
              <w:rPr>
                <w:b/>
                <w:lang w:val="uk-UA"/>
              </w:rPr>
            </w:pPr>
            <w:r w:rsidRPr="00F57540">
              <w:rPr>
                <w:b/>
                <w:lang w:val="uk-UA"/>
              </w:rPr>
              <w:t>Знання:</w:t>
            </w:r>
          </w:p>
          <w:p w:rsidR="00CC69DC" w:rsidRPr="00F57540" w:rsidRDefault="00CC69DC" w:rsidP="00CC69DC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>Конституції України;</w:t>
            </w:r>
          </w:p>
          <w:p w:rsidR="00CC69DC" w:rsidRPr="00F57540" w:rsidRDefault="00CC69DC" w:rsidP="00CC69DC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>Митного кодексу України;</w:t>
            </w:r>
          </w:p>
          <w:p w:rsidR="00CC69DC" w:rsidRPr="00F57540" w:rsidRDefault="00CC69DC" w:rsidP="00CC69DC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lastRenderedPageBreak/>
              <w:t>Закону України «Про державну службу»;</w:t>
            </w:r>
          </w:p>
          <w:p w:rsidR="00CC69DC" w:rsidRPr="00F57540" w:rsidRDefault="00CC69DC" w:rsidP="00CC69DC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CC69DC" w:rsidRPr="00F57540" w:rsidTr="001518C1">
        <w:tc>
          <w:tcPr>
            <w:tcW w:w="713" w:type="dxa"/>
            <w:shd w:val="clear" w:color="auto" w:fill="auto"/>
          </w:tcPr>
          <w:p w:rsidR="00CC69DC" w:rsidRPr="00F57540" w:rsidRDefault="00CC69DC" w:rsidP="00CC69DC">
            <w:pPr>
              <w:rPr>
                <w:lang w:val="uk-UA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CC69DC" w:rsidRPr="00F57540" w:rsidRDefault="00CC69DC" w:rsidP="00CC69DC">
            <w:pPr>
              <w:rPr>
                <w:lang w:val="uk-UA"/>
              </w:rPr>
            </w:pPr>
          </w:p>
          <w:p w:rsidR="00CC69DC" w:rsidRPr="00F57540" w:rsidRDefault="00CC69DC" w:rsidP="00CC69DC">
            <w:pPr>
              <w:rPr>
                <w:lang w:val="uk-UA"/>
              </w:rPr>
            </w:pPr>
            <w:r w:rsidRPr="00F57540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5267" w:type="dxa"/>
            <w:gridSpan w:val="2"/>
            <w:shd w:val="clear" w:color="auto" w:fill="auto"/>
          </w:tcPr>
          <w:p w:rsidR="00A662C1" w:rsidRPr="00F57540" w:rsidRDefault="00CC69DC" w:rsidP="00D07164">
            <w:pPr>
              <w:jc w:val="both"/>
              <w:rPr>
                <w:lang w:val="uk-UA"/>
              </w:rPr>
            </w:pPr>
            <w:r w:rsidRPr="00F57540">
              <w:rPr>
                <w:b/>
                <w:lang w:val="uk-UA"/>
              </w:rPr>
              <w:t>Знання:</w:t>
            </w:r>
            <w:r w:rsidR="00A662C1" w:rsidRPr="00F57540">
              <w:rPr>
                <w:lang w:val="uk-UA"/>
              </w:rPr>
              <w:t xml:space="preserve"> </w:t>
            </w:r>
          </w:p>
          <w:p w:rsidR="00D07164" w:rsidRPr="00F57540" w:rsidRDefault="00A662C1" w:rsidP="00C45E28">
            <w:pPr>
              <w:jc w:val="both"/>
              <w:rPr>
                <w:lang w:val="uk-UA"/>
              </w:rPr>
            </w:pPr>
            <w:r w:rsidRPr="00F57540">
              <w:rPr>
                <w:lang w:val="uk-UA"/>
              </w:rPr>
              <w:t>Н</w:t>
            </w:r>
            <w:proofErr w:type="spellStart"/>
            <w:r w:rsidRPr="00F57540">
              <w:t>аказ</w:t>
            </w:r>
            <w:proofErr w:type="spellEnd"/>
            <w:r w:rsidRPr="00F57540">
              <w:rPr>
                <w:lang w:val="uk-UA"/>
              </w:rPr>
              <w:t>у</w:t>
            </w:r>
            <w:r w:rsidRPr="00F57540">
              <w:t xml:space="preserve"> </w:t>
            </w:r>
            <w:proofErr w:type="spellStart"/>
            <w:r w:rsidRPr="00F57540">
              <w:t>Міністерства</w:t>
            </w:r>
            <w:proofErr w:type="spellEnd"/>
            <w:r w:rsidRPr="00F57540">
              <w:t xml:space="preserve"> </w:t>
            </w:r>
            <w:proofErr w:type="spellStart"/>
            <w:r w:rsidRPr="00F57540">
              <w:t>фінансів</w:t>
            </w:r>
            <w:proofErr w:type="spellEnd"/>
            <w:r w:rsidRPr="00F57540">
              <w:t xml:space="preserve"> </w:t>
            </w:r>
            <w:proofErr w:type="spellStart"/>
            <w:r w:rsidRPr="00F57540">
              <w:t>України</w:t>
            </w:r>
            <w:proofErr w:type="spellEnd"/>
            <w:r w:rsidRPr="00F57540">
              <w:t xml:space="preserve"> </w:t>
            </w:r>
            <w:r w:rsidRPr="00F57540">
              <w:rPr>
                <w:lang w:val="uk-UA"/>
              </w:rPr>
              <w:t xml:space="preserve"> </w:t>
            </w:r>
            <w:proofErr w:type="spellStart"/>
            <w:r w:rsidRPr="00F57540">
              <w:t>від</w:t>
            </w:r>
            <w:proofErr w:type="spellEnd"/>
            <w:r w:rsidRPr="00F57540">
              <w:t xml:space="preserve"> </w:t>
            </w:r>
            <w:r w:rsidRPr="00F57540">
              <w:rPr>
                <w:lang w:val="uk-UA"/>
              </w:rPr>
              <w:t>25</w:t>
            </w:r>
            <w:r w:rsidR="0059618D" w:rsidRPr="00F57540">
              <w:rPr>
                <w:lang w:val="uk-UA"/>
              </w:rPr>
              <w:t xml:space="preserve"> квітня</w:t>
            </w:r>
            <w:r w:rsidRPr="00F57540">
              <w:rPr>
                <w:lang w:val="uk-UA"/>
              </w:rPr>
              <w:t>.2023</w:t>
            </w:r>
            <w:r w:rsidRPr="00F57540">
              <w:t xml:space="preserve"> р</w:t>
            </w:r>
            <w:r w:rsidR="0059618D" w:rsidRPr="00F57540">
              <w:rPr>
                <w:lang w:val="uk-UA"/>
              </w:rPr>
              <w:t>оку</w:t>
            </w:r>
            <w:r w:rsidRPr="00F57540">
              <w:t xml:space="preserve"> №</w:t>
            </w:r>
            <w:r w:rsidRPr="00F57540">
              <w:rPr>
                <w:lang w:val="uk-UA"/>
              </w:rPr>
              <w:t xml:space="preserve"> 213 « Про деякі питання забезпечення сплати митних платежів»</w:t>
            </w:r>
            <w:r w:rsidR="000D22E6" w:rsidRPr="00F57540">
              <w:rPr>
                <w:lang w:val="uk-UA"/>
              </w:rPr>
              <w:t>.</w:t>
            </w:r>
          </w:p>
          <w:p w:rsidR="00CC69DC" w:rsidRPr="00F57540" w:rsidRDefault="00CC69DC" w:rsidP="00CC69DC">
            <w:pPr>
              <w:jc w:val="both"/>
              <w:rPr>
                <w:lang w:val="uk-UA"/>
              </w:rPr>
            </w:pPr>
          </w:p>
        </w:tc>
      </w:tr>
    </w:tbl>
    <w:p w:rsidR="00EF46D9" w:rsidRPr="00F57540" w:rsidRDefault="00EF46D9" w:rsidP="001518C1">
      <w:pPr>
        <w:rPr>
          <w:lang w:val="uk-UA"/>
        </w:rPr>
      </w:pPr>
    </w:p>
    <w:sectPr w:rsidR="00EF46D9" w:rsidRPr="00F57540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5F2" w:rsidRDefault="002305F2" w:rsidP="005C3C0A">
      <w:r>
        <w:separator/>
      </w:r>
    </w:p>
  </w:endnote>
  <w:endnote w:type="continuationSeparator" w:id="0">
    <w:p w:rsidR="002305F2" w:rsidRDefault="002305F2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5F2" w:rsidRDefault="002305F2" w:rsidP="005C3C0A">
      <w:r>
        <w:separator/>
      </w:r>
    </w:p>
  </w:footnote>
  <w:footnote w:type="continuationSeparator" w:id="0">
    <w:p w:rsidR="002305F2" w:rsidRDefault="002305F2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57540">
      <w:rPr>
        <w:noProof/>
      </w:rPr>
      <w:t>2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1DD3"/>
    <w:rsid w:val="00042472"/>
    <w:rsid w:val="000662EF"/>
    <w:rsid w:val="00075724"/>
    <w:rsid w:val="00083999"/>
    <w:rsid w:val="000861D4"/>
    <w:rsid w:val="000863BD"/>
    <w:rsid w:val="000A1998"/>
    <w:rsid w:val="000B4E9A"/>
    <w:rsid w:val="000C37E5"/>
    <w:rsid w:val="000D22E6"/>
    <w:rsid w:val="000D27E4"/>
    <w:rsid w:val="000D5ACB"/>
    <w:rsid w:val="000D6D2A"/>
    <w:rsid w:val="000E093F"/>
    <w:rsid w:val="000E7E3C"/>
    <w:rsid w:val="000F1238"/>
    <w:rsid w:val="000F70FB"/>
    <w:rsid w:val="000F712C"/>
    <w:rsid w:val="000F7209"/>
    <w:rsid w:val="00133A9E"/>
    <w:rsid w:val="00140866"/>
    <w:rsid w:val="00143645"/>
    <w:rsid w:val="001518C1"/>
    <w:rsid w:val="00163B39"/>
    <w:rsid w:val="00177290"/>
    <w:rsid w:val="0018614D"/>
    <w:rsid w:val="001C3AF0"/>
    <w:rsid w:val="001C418D"/>
    <w:rsid w:val="001D1BEB"/>
    <w:rsid w:val="001D2C59"/>
    <w:rsid w:val="001D5109"/>
    <w:rsid w:val="001F46E7"/>
    <w:rsid w:val="00205DDB"/>
    <w:rsid w:val="002126C7"/>
    <w:rsid w:val="00212D6B"/>
    <w:rsid w:val="002149B0"/>
    <w:rsid w:val="00223C0E"/>
    <w:rsid w:val="002305F2"/>
    <w:rsid w:val="00234692"/>
    <w:rsid w:val="0023672E"/>
    <w:rsid w:val="002374CE"/>
    <w:rsid w:val="0024637B"/>
    <w:rsid w:val="00254511"/>
    <w:rsid w:val="002558CE"/>
    <w:rsid w:val="00264BFA"/>
    <w:rsid w:val="00274E19"/>
    <w:rsid w:val="002813AE"/>
    <w:rsid w:val="00284E63"/>
    <w:rsid w:val="002858F7"/>
    <w:rsid w:val="002A34FD"/>
    <w:rsid w:val="002A46A7"/>
    <w:rsid w:val="002B4EAF"/>
    <w:rsid w:val="002C142E"/>
    <w:rsid w:val="002C5025"/>
    <w:rsid w:val="002C5898"/>
    <w:rsid w:val="002D4E1B"/>
    <w:rsid w:val="002E7CA9"/>
    <w:rsid w:val="002F38CA"/>
    <w:rsid w:val="003005FA"/>
    <w:rsid w:val="00302077"/>
    <w:rsid w:val="00305D65"/>
    <w:rsid w:val="0031159E"/>
    <w:rsid w:val="00314570"/>
    <w:rsid w:val="00316440"/>
    <w:rsid w:val="003206C8"/>
    <w:rsid w:val="003331D8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7A49"/>
    <w:rsid w:val="003E6ED5"/>
    <w:rsid w:val="003E7E91"/>
    <w:rsid w:val="003F4F85"/>
    <w:rsid w:val="004023DF"/>
    <w:rsid w:val="00411F36"/>
    <w:rsid w:val="00441A38"/>
    <w:rsid w:val="00446999"/>
    <w:rsid w:val="00461FFE"/>
    <w:rsid w:val="004626E8"/>
    <w:rsid w:val="00473613"/>
    <w:rsid w:val="00476F75"/>
    <w:rsid w:val="0048154E"/>
    <w:rsid w:val="00485D46"/>
    <w:rsid w:val="00486C22"/>
    <w:rsid w:val="00495C11"/>
    <w:rsid w:val="004A38CE"/>
    <w:rsid w:val="004A6CE5"/>
    <w:rsid w:val="004C04FB"/>
    <w:rsid w:val="004C55E3"/>
    <w:rsid w:val="004D0D0E"/>
    <w:rsid w:val="004D7504"/>
    <w:rsid w:val="004D7B89"/>
    <w:rsid w:val="004F4BDE"/>
    <w:rsid w:val="004F4DD5"/>
    <w:rsid w:val="00500FDE"/>
    <w:rsid w:val="00506520"/>
    <w:rsid w:val="005112AC"/>
    <w:rsid w:val="00511FFB"/>
    <w:rsid w:val="005207DC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91B10"/>
    <w:rsid w:val="0059618D"/>
    <w:rsid w:val="00597B8F"/>
    <w:rsid w:val="005A4C8D"/>
    <w:rsid w:val="005B55D1"/>
    <w:rsid w:val="005B752F"/>
    <w:rsid w:val="005C058F"/>
    <w:rsid w:val="005C3229"/>
    <w:rsid w:val="005C3C0A"/>
    <w:rsid w:val="005E47EC"/>
    <w:rsid w:val="005F4512"/>
    <w:rsid w:val="00610182"/>
    <w:rsid w:val="006106A5"/>
    <w:rsid w:val="006148A3"/>
    <w:rsid w:val="00620A67"/>
    <w:rsid w:val="00632784"/>
    <w:rsid w:val="0064718D"/>
    <w:rsid w:val="0065497C"/>
    <w:rsid w:val="0065673F"/>
    <w:rsid w:val="006609DC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3F0F"/>
    <w:rsid w:val="00714CD9"/>
    <w:rsid w:val="00716087"/>
    <w:rsid w:val="007221EF"/>
    <w:rsid w:val="00723AE5"/>
    <w:rsid w:val="00731F7B"/>
    <w:rsid w:val="0075264D"/>
    <w:rsid w:val="0075669E"/>
    <w:rsid w:val="007600C9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60F8"/>
    <w:rsid w:val="007E1956"/>
    <w:rsid w:val="007E2A8B"/>
    <w:rsid w:val="007E2ACC"/>
    <w:rsid w:val="007F2A40"/>
    <w:rsid w:val="00810DF2"/>
    <w:rsid w:val="008231FB"/>
    <w:rsid w:val="008248E4"/>
    <w:rsid w:val="00827AEA"/>
    <w:rsid w:val="00834666"/>
    <w:rsid w:val="008543B0"/>
    <w:rsid w:val="0087291A"/>
    <w:rsid w:val="00875033"/>
    <w:rsid w:val="00880557"/>
    <w:rsid w:val="00880FFB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E1871"/>
    <w:rsid w:val="008E50C3"/>
    <w:rsid w:val="008E7D48"/>
    <w:rsid w:val="008F0997"/>
    <w:rsid w:val="0090714C"/>
    <w:rsid w:val="0091085C"/>
    <w:rsid w:val="0091192E"/>
    <w:rsid w:val="00916856"/>
    <w:rsid w:val="00927E43"/>
    <w:rsid w:val="009376F2"/>
    <w:rsid w:val="00940B33"/>
    <w:rsid w:val="00940F54"/>
    <w:rsid w:val="009447DD"/>
    <w:rsid w:val="00944F02"/>
    <w:rsid w:val="00974520"/>
    <w:rsid w:val="00984D58"/>
    <w:rsid w:val="00985519"/>
    <w:rsid w:val="00985812"/>
    <w:rsid w:val="00995F46"/>
    <w:rsid w:val="00996566"/>
    <w:rsid w:val="009B1854"/>
    <w:rsid w:val="009E376A"/>
    <w:rsid w:val="009E7FB0"/>
    <w:rsid w:val="00A01803"/>
    <w:rsid w:val="00A1095D"/>
    <w:rsid w:val="00A1691D"/>
    <w:rsid w:val="00A321E6"/>
    <w:rsid w:val="00A329DB"/>
    <w:rsid w:val="00A52AD6"/>
    <w:rsid w:val="00A61DBD"/>
    <w:rsid w:val="00A662C1"/>
    <w:rsid w:val="00A67438"/>
    <w:rsid w:val="00A67C3C"/>
    <w:rsid w:val="00A76545"/>
    <w:rsid w:val="00A804E7"/>
    <w:rsid w:val="00A8567D"/>
    <w:rsid w:val="00A93137"/>
    <w:rsid w:val="00A9378E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D5390"/>
    <w:rsid w:val="00BE13FB"/>
    <w:rsid w:val="00BE3230"/>
    <w:rsid w:val="00BE519D"/>
    <w:rsid w:val="00BE735B"/>
    <w:rsid w:val="00BF4073"/>
    <w:rsid w:val="00C01F43"/>
    <w:rsid w:val="00C1435E"/>
    <w:rsid w:val="00C21542"/>
    <w:rsid w:val="00C25EA2"/>
    <w:rsid w:val="00C30352"/>
    <w:rsid w:val="00C30594"/>
    <w:rsid w:val="00C36157"/>
    <w:rsid w:val="00C44BC5"/>
    <w:rsid w:val="00C45E28"/>
    <w:rsid w:val="00C51575"/>
    <w:rsid w:val="00C53A7A"/>
    <w:rsid w:val="00C5500A"/>
    <w:rsid w:val="00C633AB"/>
    <w:rsid w:val="00C765DB"/>
    <w:rsid w:val="00C81B66"/>
    <w:rsid w:val="00C821A6"/>
    <w:rsid w:val="00C973CC"/>
    <w:rsid w:val="00CA6ECF"/>
    <w:rsid w:val="00CA7C2C"/>
    <w:rsid w:val="00CA7D91"/>
    <w:rsid w:val="00CB477F"/>
    <w:rsid w:val="00CC69DC"/>
    <w:rsid w:val="00CD317C"/>
    <w:rsid w:val="00CD702C"/>
    <w:rsid w:val="00CF1F40"/>
    <w:rsid w:val="00CF596A"/>
    <w:rsid w:val="00D005DA"/>
    <w:rsid w:val="00D07164"/>
    <w:rsid w:val="00D11BEA"/>
    <w:rsid w:val="00D152B7"/>
    <w:rsid w:val="00D23D88"/>
    <w:rsid w:val="00D275BE"/>
    <w:rsid w:val="00D32115"/>
    <w:rsid w:val="00D412B4"/>
    <w:rsid w:val="00D45704"/>
    <w:rsid w:val="00D467A5"/>
    <w:rsid w:val="00D55950"/>
    <w:rsid w:val="00D63AA7"/>
    <w:rsid w:val="00D64193"/>
    <w:rsid w:val="00D85BFA"/>
    <w:rsid w:val="00DA23B6"/>
    <w:rsid w:val="00DA4D38"/>
    <w:rsid w:val="00DA5B10"/>
    <w:rsid w:val="00DA725F"/>
    <w:rsid w:val="00DB4D37"/>
    <w:rsid w:val="00DC6BEA"/>
    <w:rsid w:val="00DF0977"/>
    <w:rsid w:val="00DF54D8"/>
    <w:rsid w:val="00E00485"/>
    <w:rsid w:val="00E03941"/>
    <w:rsid w:val="00E151B7"/>
    <w:rsid w:val="00E21AA7"/>
    <w:rsid w:val="00E23DC8"/>
    <w:rsid w:val="00E30875"/>
    <w:rsid w:val="00E40123"/>
    <w:rsid w:val="00E5198D"/>
    <w:rsid w:val="00E52827"/>
    <w:rsid w:val="00E532E8"/>
    <w:rsid w:val="00E55C8D"/>
    <w:rsid w:val="00E65DB8"/>
    <w:rsid w:val="00E667DA"/>
    <w:rsid w:val="00E75FF7"/>
    <w:rsid w:val="00E80270"/>
    <w:rsid w:val="00EA2BAC"/>
    <w:rsid w:val="00EA3C5B"/>
    <w:rsid w:val="00EB2726"/>
    <w:rsid w:val="00EB5C89"/>
    <w:rsid w:val="00EB7DBD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33635"/>
    <w:rsid w:val="00F53078"/>
    <w:rsid w:val="00F57540"/>
    <w:rsid w:val="00F57EAD"/>
    <w:rsid w:val="00F655A3"/>
    <w:rsid w:val="00F76B09"/>
    <w:rsid w:val="00F823E0"/>
    <w:rsid w:val="00F83B11"/>
    <w:rsid w:val="00F8575E"/>
    <w:rsid w:val="00F94FC4"/>
    <w:rsid w:val="00F9636F"/>
    <w:rsid w:val="00FA0179"/>
    <w:rsid w:val="00FA2CAB"/>
    <w:rsid w:val="00FA2F65"/>
    <w:rsid w:val="00FA6E3E"/>
    <w:rsid w:val="00FB4568"/>
    <w:rsid w:val="00FB745C"/>
    <w:rsid w:val="00FC6E60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5EA4"/>
  <w15:chartTrackingRefBased/>
  <w15:docId w15:val="{FF1CA44D-E341-4680-8308-FCE1B95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3F7A-5A39-4936-A207-54C34071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2826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4</cp:revision>
  <cp:lastPrinted>2025-04-11T11:31:00Z</cp:lastPrinted>
  <dcterms:created xsi:type="dcterms:W3CDTF">2025-04-28T12:03:00Z</dcterms:created>
  <dcterms:modified xsi:type="dcterms:W3CDTF">2025-04-29T08:34:00Z</dcterms:modified>
</cp:coreProperties>
</file>