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12" w:rsidRPr="000119F1" w:rsidRDefault="002D4E1B" w:rsidP="002D4E1B">
      <w:pPr>
        <w:jc w:val="center"/>
        <w:rPr>
          <w:lang w:val="uk-UA"/>
        </w:rPr>
      </w:pPr>
      <w:r w:rsidRPr="000119F1">
        <w:rPr>
          <w:lang w:val="uk-UA"/>
        </w:rPr>
        <w:t>головний державний інспектор</w:t>
      </w:r>
      <w:r w:rsidR="00D71012" w:rsidRPr="000119F1">
        <w:rPr>
          <w:lang w:val="uk-UA"/>
        </w:rPr>
        <w:t xml:space="preserve"> </w:t>
      </w:r>
      <w:r w:rsidR="00A62E65" w:rsidRPr="000119F1">
        <w:rPr>
          <w:lang w:val="uk-UA"/>
        </w:rPr>
        <w:t xml:space="preserve">сектору методології спеціальних процедур </w:t>
      </w:r>
    </w:p>
    <w:p w:rsidR="00A62E65" w:rsidRPr="000119F1" w:rsidRDefault="00A62E65" w:rsidP="002D4E1B">
      <w:pPr>
        <w:jc w:val="center"/>
        <w:rPr>
          <w:lang w:val="uk-UA"/>
        </w:rPr>
      </w:pPr>
      <w:r w:rsidRPr="000119F1">
        <w:rPr>
          <w:lang w:val="uk-UA"/>
        </w:rPr>
        <w:t xml:space="preserve">Департаменту організації виконання митних формальностей </w:t>
      </w:r>
    </w:p>
    <w:p w:rsidR="00BB37D6" w:rsidRPr="000119F1" w:rsidRDefault="002D4E1B" w:rsidP="002D4E1B">
      <w:pPr>
        <w:jc w:val="center"/>
        <w:rPr>
          <w:lang w:val="uk-UA"/>
        </w:rPr>
      </w:pPr>
      <w:r w:rsidRPr="000119F1">
        <w:rPr>
          <w:lang w:val="uk-UA"/>
        </w:rPr>
        <w:t>Державної митної служби України</w:t>
      </w:r>
    </w:p>
    <w:p w:rsidR="004A38CE" w:rsidRPr="000119F1" w:rsidRDefault="004A38CE" w:rsidP="002D4E1B">
      <w:pPr>
        <w:jc w:val="both"/>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56"/>
        <w:gridCol w:w="900"/>
        <w:gridCol w:w="4532"/>
        <w:gridCol w:w="1421"/>
      </w:tblGrid>
      <w:tr w:rsidR="007C4458" w:rsidRPr="008C1384" w:rsidTr="00CC69DC">
        <w:tc>
          <w:tcPr>
            <w:tcW w:w="7561" w:type="dxa"/>
            <w:gridSpan w:val="5"/>
            <w:shd w:val="clear" w:color="auto" w:fill="auto"/>
          </w:tcPr>
          <w:p w:rsidR="007C4458" w:rsidRPr="008C1384" w:rsidRDefault="007C4458" w:rsidP="007C4458">
            <w:pPr>
              <w:jc w:val="center"/>
              <w:rPr>
                <w:b/>
                <w:bCs/>
                <w:lang w:val="uk-UA"/>
              </w:rPr>
            </w:pPr>
            <w:r w:rsidRPr="008C1384">
              <w:rPr>
                <w:b/>
                <w:bCs/>
                <w:lang w:val="uk-UA"/>
              </w:rPr>
              <w:t>І. ХАРАКТЕРИСТИКА ПОСАДИ</w:t>
            </w:r>
          </w:p>
        </w:tc>
      </w:tr>
      <w:tr w:rsidR="005C3C0A" w:rsidRPr="008C1384" w:rsidTr="008C1384">
        <w:tc>
          <w:tcPr>
            <w:tcW w:w="498" w:type="dxa"/>
            <w:shd w:val="clear" w:color="auto" w:fill="auto"/>
          </w:tcPr>
          <w:p w:rsidR="005C3C0A" w:rsidRPr="008C1384" w:rsidRDefault="005C3C0A" w:rsidP="000E7E3C">
            <w:pPr>
              <w:numPr>
                <w:ilvl w:val="0"/>
                <w:numId w:val="2"/>
              </w:numPr>
              <w:jc w:val="center"/>
              <w:rPr>
                <w:lang w:val="uk-UA"/>
              </w:rPr>
            </w:pPr>
          </w:p>
        </w:tc>
        <w:tc>
          <w:tcPr>
            <w:tcW w:w="3073" w:type="dxa"/>
            <w:gridSpan w:val="2"/>
            <w:shd w:val="clear" w:color="auto" w:fill="auto"/>
          </w:tcPr>
          <w:p w:rsidR="005C3C0A" w:rsidRPr="008C1384" w:rsidRDefault="005C3C0A" w:rsidP="003331D8">
            <w:pPr>
              <w:rPr>
                <w:lang w:val="uk-UA"/>
              </w:rPr>
            </w:pPr>
            <w:r w:rsidRPr="008C1384">
              <w:rPr>
                <w:lang w:val="uk-UA"/>
              </w:rPr>
              <w:t>Найменування державного органу</w:t>
            </w:r>
          </w:p>
        </w:tc>
        <w:tc>
          <w:tcPr>
            <w:tcW w:w="3990" w:type="dxa"/>
            <w:gridSpan w:val="2"/>
            <w:shd w:val="clear" w:color="auto" w:fill="auto"/>
          </w:tcPr>
          <w:p w:rsidR="005C3C0A" w:rsidRPr="008C1384" w:rsidRDefault="006106A5" w:rsidP="00E151B7">
            <w:pPr>
              <w:rPr>
                <w:lang w:val="uk-UA"/>
              </w:rPr>
            </w:pPr>
            <w:r w:rsidRPr="008C1384">
              <w:rPr>
                <w:lang w:val="uk-UA"/>
              </w:rPr>
              <w:t>Державна митна служба України</w:t>
            </w:r>
          </w:p>
        </w:tc>
      </w:tr>
      <w:tr w:rsidR="008F0997" w:rsidRPr="008C1384" w:rsidTr="008C1384">
        <w:tc>
          <w:tcPr>
            <w:tcW w:w="498" w:type="dxa"/>
            <w:shd w:val="clear" w:color="auto" w:fill="auto"/>
          </w:tcPr>
          <w:p w:rsidR="008F0997" w:rsidRPr="008C1384" w:rsidRDefault="008F0997" w:rsidP="000E7E3C">
            <w:pPr>
              <w:numPr>
                <w:ilvl w:val="0"/>
                <w:numId w:val="2"/>
              </w:numPr>
              <w:jc w:val="center"/>
              <w:rPr>
                <w:lang w:val="uk-UA"/>
              </w:rPr>
            </w:pPr>
          </w:p>
        </w:tc>
        <w:tc>
          <w:tcPr>
            <w:tcW w:w="3073" w:type="dxa"/>
            <w:gridSpan w:val="2"/>
            <w:shd w:val="clear" w:color="auto" w:fill="auto"/>
          </w:tcPr>
          <w:p w:rsidR="008F0997" w:rsidRPr="008C1384" w:rsidRDefault="008F0997" w:rsidP="003331D8">
            <w:pPr>
              <w:rPr>
                <w:lang w:val="uk-UA"/>
              </w:rPr>
            </w:pPr>
            <w:r w:rsidRPr="008C1384">
              <w:rPr>
                <w:lang w:val="uk-UA"/>
              </w:rPr>
              <w:t>Найменування структурного підрозділу</w:t>
            </w:r>
          </w:p>
        </w:tc>
        <w:tc>
          <w:tcPr>
            <w:tcW w:w="3990" w:type="dxa"/>
            <w:gridSpan w:val="2"/>
            <w:shd w:val="clear" w:color="auto" w:fill="auto"/>
          </w:tcPr>
          <w:p w:rsidR="008F0997" w:rsidRPr="008C1384" w:rsidRDefault="00A62E65" w:rsidP="00A923E2">
            <w:pPr>
              <w:jc w:val="both"/>
              <w:rPr>
                <w:lang w:val="uk-UA"/>
              </w:rPr>
            </w:pPr>
            <w:r w:rsidRPr="008C1384">
              <w:rPr>
                <w:lang w:val="uk-UA"/>
              </w:rPr>
              <w:t>Сектор методології спеціальних процедур Департаменту організації виконання митних формальностей Державної митної служби України</w:t>
            </w:r>
          </w:p>
        </w:tc>
      </w:tr>
      <w:tr w:rsidR="008F0997" w:rsidRPr="008C1384" w:rsidTr="008C1384">
        <w:tc>
          <w:tcPr>
            <w:tcW w:w="498" w:type="dxa"/>
            <w:shd w:val="clear" w:color="auto" w:fill="auto"/>
          </w:tcPr>
          <w:p w:rsidR="008F0997" w:rsidRPr="008C1384" w:rsidRDefault="008F0997" w:rsidP="000E7E3C">
            <w:pPr>
              <w:numPr>
                <w:ilvl w:val="0"/>
                <w:numId w:val="2"/>
              </w:numPr>
              <w:jc w:val="center"/>
              <w:rPr>
                <w:lang w:val="uk-UA"/>
              </w:rPr>
            </w:pPr>
          </w:p>
        </w:tc>
        <w:tc>
          <w:tcPr>
            <w:tcW w:w="3073" w:type="dxa"/>
            <w:gridSpan w:val="2"/>
            <w:shd w:val="clear" w:color="auto" w:fill="auto"/>
          </w:tcPr>
          <w:p w:rsidR="008F0997" w:rsidRPr="008C1384" w:rsidRDefault="008F0997" w:rsidP="003331D8">
            <w:pPr>
              <w:rPr>
                <w:lang w:val="uk-UA"/>
              </w:rPr>
            </w:pPr>
            <w:r w:rsidRPr="008C1384">
              <w:rPr>
                <w:lang w:val="uk-UA"/>
              </w:rPr>
              <w:t>Найменування посади</w:t>
            </w:r>
          </w:p>
        </w:tc>
        <w:tc>
          <w:tcPr>
            <w:tcW w:w="3990" w:type="dxa"/>
            <w:gridSpan w:val="2"/>
            <w:shd w:val="clear" w:color="auto" w:fill="auto"/>
          </w:tcPr>
          <w:p w:rsidR="008F0997" w:rsidRPr="008C1384" w:rsidRDefault="00CC69DC" w:rsidP="00D71012">
            <w:pPr>
              <w:jc w:val="both"/>
              <w:rPr>
                <w:lang w:val="uk-UA"/>
              </w:rPr>
            </w:pPr>
            <w:r w:rsidRPr="008C1384">
              <w:rPr>
                <w:bCs/>
                <w:lang w:val="uk-UA"/>
              </w:rPr>
              <w:t>Г</w:t>
            </w:r>
            <w:r w:rsidR="002D4E1B" w:rsidRPr="008C1384">
              <w:rPr>
                <w:bCs/>
                <w:lang w:val="uk-UA"/>
              </w:rPr>
              <w:t xml:space="preserve">оловний державний інспектор </w:t>
            </w:r>
            <w:r w:rsidR="00A62E65" w:rsidRPr="008C1384">
              <w:rPr>
                <w:lang w:val="uk-UA"/>
              </w:rPr>
              <w:t>сектору методології спеціальних процедур Департаменту організації виконання митних формальностей Державної митної служби України</w:t>
            </w:r>
          </w:p>
        </w:tc>
      </w:tr>
      <w:tr w:rsidR="001C418D" w:rsidRPr="008C1384" w:rsidTr="008C1384">
        <w:tc>
          <w:tcPr>
            <w:tcW w:w="498" w:type="dxa"/>
            <w:shd w:val="clear" w:color="auto" w:fill="auto"/>
          </w:tcPr>
          <w:p w:rsidR="001C418D" w:rsidRPr="008C1384" w:rsidRDefault="001C418D" w:rsidP="000E7E3C">
            <w:pPr>
              <w:numPr>
                <w:ilvl w:val="0"/>
                <w:numId w:val="2"/>
              </w:numPr>
              <w:jc w:val="center"/>
              <w:rPr>
                <w:lang w:val="uk-UA"/>
              </w:rPr>
            </w:pPr>
          </w:p>
        </w:tc>
        <w:tc>
          <w:tcPr>
            <w:tcW w:w="2356" w:type="dxa"/>
            <w:shd w:val="clear" w:color="auto" w:fill="auto"/>
          </w:tcPr>
          <w:p w:rsidR="001C418D" w:rsidRPr="008C1384" w:rsidRDefault="001C418D" w:rsidP="003331D8">
            <w:pPr>
              <w:rPr>
                <w:lang w:val="uk-UA"/>
              </w:rPr>
            </w:pPr>
            <w:r w:rsidRPr="008C1384">
              <w:rPr>
                <w:lang w:val="uk-UA"/>
              </w:rPr>
              <w:t>Категорія посади</w:t>
            </w:r>
          </w:p>
        </w:tc>
        <w:tc>
          <w:tcPr>
            <w:tcW w:w="717" w:type="dxa"/>
            <w:shd w:val="clear" w:color="auto" w:fill="auto"/>
          </w:tcPr>
          <w:p w:rsidR="001C418D" w:rsidRPr="008C1384" w:rsidRDefault="002D4E1B" w:rsidP="001C418D">
            <w:pPr>
              <w:rPr>
                <w:lang w:val="uk-UA"/>
              </w:rPr>
            </w:pPr>
            <w:r w:rsidRPr="008C1384">
              <w:rPr>
                <w:lang w:val="uk-UA"/>
              </w:rPr>
              <w:t>В</w:t>
            </w:r>
          </w:p>
        </w:tc>
        <w:tc>
          <w:tcPr>
            <w:tcW w:w="3050" w:type="dxa"/>
            <w:shd w:val="clear" w:color="auto" w:fill="auto"/>
          </w:tcPr>
          <w:p w:rsidR="001C418D" w:rsidRPr="008C1384" w:rsidRDefault="001C418D" w:rsidP="00E151B7">
            <w:pPr>
              <w:jc w:val="both"/>
              <w:rPr>
                <w:bCs/>
                <w:lang w:val="uk-UA"/>
              </w:rPr>
            </w:pPr>
            <w:proofErr w:type="spellStart"/>
            <w:r w:rsidRPr="008C1384">
              <w:rPr>
                <w:bCs/>
                <w:lang w:val="uk-UA"/>
              </w:rPr>
              <w:t>Підкатегорія</w:t>
            </w:r>
            <w:proofErr w:type="spellEnd"/>
            <w:r w:rsidRPr="008C1384">
              <w:rPr>
                <w:bCs/>
                <w:lang w:val="uk-UA"/>
              </w:rPr>
              <w:t xml:space="preserve"> посади</w:t>
            </w:r>
          </w:p>
        </w:tc>
        <w:tc>
          <w:tcPr>
            <w:tcW w:w="940" w:type="dxa"/>
            <w:shd w:val="clear" w:color="auto" w:fill="auto"/>
          </w:tcPr>
          <w:p w:rsidR="001C418D" w:rsidRPr="008C1384" w:rsidRDefault="002D4E1B" w:rsidP="00E151B7">
            <w:pPr>
              <w:jc w:val="both"/>
              <w:rPr>
                <w:bCs/>
                <w:lang w:val="en-US"/>
              </w:rPr>
            </w:pPr>
            <w:r w:rsidRPr="008C1384">
              <w:rPr>
                <w:bCs/>
                <w:lang w:val="uk-UA"/>
              </w:rPr>
              <w:t>В</w:t>
            </w:r>
            <w:r w:rsidR="002A46A7" w:rsidRPr="008C1384">
              <w:rPr>
                <w:bCs/>
                <w:lang w:val="en-US"/>
              </w:rPr>
              <w:t>1</w:t>
            </w:r>
          </w:p>
        </w:tc>
      </w:tr>
      <w:tr w:rsidR="008F0997" w:rsidRPr="008C1384" w:rsidTr="008C1384">
        <w:tc>
          <w:tcPr>
            <w:tcW w:w="498" w:type="dxa"/>
            <w:shd w:val="clear" w:color="auto" w:fill="auto"/>
          </w:tcPr>
          <w:p w:rsidR="008F0997" w:rsidRPr="008C1384" w:rsidRDefault="008F0997" w:rsidP="000E7E3C">
            <w:pPr>
              <w:numPr>
                <w:ilvl w:val="0"/>
                <w:numId w:val="2"/>
              </w:numPr>
              <w:jc w:val="center"/>
              <w:rPr>
                <w:caps/>
                <w:lang w:val="uk-UA"/>
              </w:rPr>
            </w:pPr>
          </w:p>
        </w:tc>
        <w:tc>
          <w:tcPr>
            <w:tcW w:w="3073" w:type="dxa"/>
            <w:gridSpan w:val="2"/>
            <w:shd w:val="clear" w:color="auto" w:fill="auto"/>
          </w:tcPr>
          <w:p w:rsidR="00A321E6" w:rsidRPr="008C1384" w:rsidRDefault="008F0997" w:rsidP="00274E19">
            <w:pPr>
              <w:rPr>
                <w:caps/>
                <w:lang w:val="uk-UA"/>
              </w:rPr>
            </w:pPr>
            <w:r w:rsidRPr="008C1384">
              <w:rPr>
                <w:lang w:val="uk-UA"/>
              </w:rPr>
              <w:t>Мета посади</w:t>
            </w:r>
          </w:p>
        </w:tc>
        <w:tc>
          <w:tcPr>
            <w:tcW w:w="3990" w:type="dxa"/>
            <w:gridSpan w:val="2"/>
            <w:shd w:val="clear" w:color="auto" w:fill="auto"/>
          </w:tcPr>
          <w:p w:rsidR="008F0997" w:rsidRPr="008C1384" w:rsidRDefault="00196F3A" w:rsidP="00E151B7">
            <w:pPr>
              <w:jc w:val="both"/>
              <w:rPr>
                <w:color w:val="FF0000"/>
                <w:lang w:val="uk-UA"/>
              </w:rPr>
            </w:pPr>
            <w:r w:rsidRPr="008C1384">
              <w:rPr>
                <w:lang w:val="uk-UA"/>
              </w:rPr>
              <w:t>Участь в забезпеченні реа</w:t>
            </w:r>
            <w:bookmarkStart w:id="0" w:name="_GoBack"/>
            <w:bookmarkEnd w:id="0"/>
            <w:r w:rsidRPr="008C1384">
              <w:rPr>
                <w:lang w:val="uk-UA"/>
              </w:rPr>
              <w:t>лізації державної митної політики шляхом спрямування та забезпечення організації здійснення територіальними органами Держмитслужби контролю за застосуванням процедури кінцевого використання, митних режимів тимчасового ввезення, переробки на митній території, переробки за межами митної території при (далі – спеціальні процедури) митному оформленні товарів, які переміщуються через митний кордон підприємствами.</w:t>
            </w:r>
          </w:p>
        </w:tc>
      </w:tr>
      <w:tr w:rsidR="001D1BEB" w:rsidRPr="008C1384" w:rsidTr="008C1384">
        <w:tc>
          <w:tcPr>
            <w:tcW w:w="498" w:type="dxa"/>
            <w:shd w:val="clear" w:color="auto" w:fill="auto"/>
          </w:tcPr>
          <w:p w:rsidR="001D1BEB" w:rsidRPr="008C1384" w:rsidRDefault="001D1BEB" w:rsidP="000E7E3C">
            <w:pPr>
              <w:numPr>
                <w:ilvl w:val="0"/>
                <w:numId w:val="2"/>
              </w:numPr>
              <w:jc w:val="center"/>
              <w:rPr>
                <w:caps/>
                <w:lang w:val="uk-UA"/>
              </w:rPr>
            </w:pPr>
          </w:p>
        </w:tc>
        <w:tc>
          <w:tcPr>
            <w:tcW w:w="3073" w:type="dxa"/>
            <w:gridSpan w:val="2"/>
            <w:shd w:val="clear" w:color="auto" w:fill="auto"/>
          </w:tcPr>
          <w:p w:rsidR="00EC01AD" w:rsidRPr="008C1384" w:rsidRDefault="003E6ED5" w:rsidP="005C3229">
            <w:pPr>
              <w:jc w:val="both"/>
              <w:rPr>
                <w:lang w:val="uk-UA"/>
              </w:rPr>
            </w:pPr>
            <w:r w:rsidRPr="008C1384">
              <w:rPr>
                <w:lang w:val="uk-UA"/>
              </w:rPr>
              <w:t>Посадові обов’язки</w:t>
            </w:r>
          </w:p>
        </w:tc>
        <w:tc>
          <w:tcPr>
            <w:tcW w:w="3990" w:type="dxa"/>
            <w:gridSpan w:val="2"/>
            <w:shd w:val="clear" w:color="auto" w:fill="auto"/>
          </w:tcPr>
          <w:p w:rsidR="002D4E1B" w:rsidRPr="008C1384" w:rsidRDefault="00196F3A" w:rsidP="00C633AB">
            <w:pPr>
              <w:jc w:val="both"/>
              <w:rPr>
                <w:lang w:val="uk-UA"/>
              </w:rPr>
            </w:pPr>
            <w:r w:rsidRPr="008C1384">
              <w:rPr>
                <w:lang w:val="uk-UA"/>
              </w:rPr>
              <w:t xml:space="preserve">1. Відповідно до компетенції вжиття заходів щодо організації здійснення територіальними органами Держмитслужби </w:t>
            </w:r>
            <w:r w:rsidRPr="008C1384">
              <w:rPr>
                <w:bCs/>
                <w:lang w:val="uk-UA"/>
              </w:rPr>
              <w:t xml:space="preserve">надання авторизації на застосування процедури кінцевого використання, на поміщення товарів, які переміщуються через митний кордон України підприємствами, у митні режими тимчасового ввезення, </w:t>
            </w:r>
            <w:r w:rsidRPr="008C1384">
              <w:rPr>
                <w:lang w:val="uk-UA"/>
              </w:rPr>
              <w:t>переробки на митній території, переробки за межами митної території;, організації здійснення територіальними органами Держмитслужби контролю за застосуванням спеціальних процедур, проведення моніторингу відповідності умов дотримання процедури кінцевого використання, продовження строків спеціальних процедур, їх завершення та припинення.</w:t>
            </w:r>
          </w:p>
          <w:p w:rsidR="00196F3A" w:rsidRPr="008C1384" w:rsidRDefault="00196F3A" w:rsidP="00C633AB">
            <w:pPr>
              <w:jc w:val="both"/>
              <w:rPr>
                <w:lang w:val="uk-UA"/>
              </w:rPr>
            </w:pPr>
            <w:r w:rsidRPr="008C1384">
              <w:rPr>
                <w:lang w:val="uk-UA"/>
              </w:rPr>
              <w:t>2. Своєчасне та всебічне опрацювання доручень Президента України, Верховної Ради України, Кабінету Міністрів України, розгляду запитів і звернень народних депутатів України, територіальних органів та структурних підрозділів Держмитслужби, інших органів державної влади, органів місцевого самоврядування, підприємств, установ, організацій, громадських об’єднань, громадян, адвокатських запитів, запитів на отримання публічної інформації, правоохоронних органів, органів судової влади та інших суб’єктів з питань, що належать до компетенції сектору, та підготовка відповідей на них.</w:t>
            </w:r>
          </w:p>
          <w:p w:rsidR="00196F3A" w:rsidRPr="008C1384" w:rsidRDefault="00196F3A" w:rsidP="00C633AB">
            <w:pPr>
              <w:jc w:val="both"/>
              <w:rPr>
                <w:lang w:val="uk-UA"/>
              </w:rPr>
            </w:pPr>
            <w:r w:rsidRPr="008C1384">
              <w:rPr>
                <w:lang w:val="uk-UA"/>
              </w:rPr>
              <w:t xml:space="preserve">3. Розробка та/або прийняття участі у опрацюванні </w:t>
            </w:r>
            <w:proofErr w:type="spellStart"/>
            <w:r w:rsidRPr="008C1384">
              <w:rPr>
                <w:lang w:val="uk-UA"/>
              </w:rPr>
              <w:t>проєктів</w:t>
            </w:r>
            <w:proofErr w:type="spellEnd"/>
            <w:r w:rsidRPr="008C1384">
              <w:rPr>
                <w:lang w:val="uk-UA"/>
              </w:rPr>
              <w:t xml:space="preserve"> законів України, актів Кабінету Міністрів України, нормативно-правових актів з питань, що належать до компетенції сектору.</w:t>
            </w:r>
          </w:p>
          <w:p w:rsidR="00196F3A" w:rsidRPr="008C1384" w:rsidRDefault="00196F3A" w:rsidP="00C633AB">
            <w:pPr>
              <w:jc w:val="both"/>
            </w:pPr>
            <w:r w:rsidRPr="008C1384">
              <w:rPr>
                <w:lang w:val="uk-UA"/>
              </w:rPr>
              <w:t xml:space="preserve">4. Аналіз та узагальнення практики застосування законодавства з питань </w:t>
            </w:r>
            <w:r w:rsidRPr="008C1384">
              <w:rPr>
                <w:bCs/>
                <w:lang w:val="uk-UA"/>
              </w:rPr>
              <w:t xml:space="preserve">надання авторизації на застосування процедури кінцевого використання, на </w:t>
            </w:r>
            <w:r w:rsidRPr="008C1384">
              <w:rPr>
                <w:bCs/>
                <w:lang w:val="uk-UA"/>
              </w:rPr>
              <w:lastRenderedPageBreak/>
              <w:t xml:space="preserve">поміщення товарів, які переміщуються через митний кордон України підприємствами, у митні режими тимчасового ввезення, </w:t>
            </w:r>
            <w:r w:rsidRPr="008C1384">
              <w:rPr>
                <w:lang w:val="uk-UA"/>
              </w:rPr>
              <w:t>переробки на митній території, переробки за межами митної території; у</w:t>
            </w:r>
            <w:r w:rsidRPr="008C1384">
              <w:t xml:space="preserve"> межах </w:t>
            </w:r>
            <w:proofErr w:type="spellStart"/>
            <w:r w:rsidRPr="008C1384">
              <w:t>компетенції</w:t>
            </w:r>
            <w:proofErr w:type="spellEnd"/>
            <w:r w:rsidRPr="008C1384">
              <w:t xml:space="preserve"> </w:t>
            </w:r>
            <w:proofErr w:type="spellStart"/>
            <w:r w:rsidRPr="008C1384">
              <w:t>реалізує</w:t>
            </w:r>
            <w:proofErr w:type="spellEnd"/>
            <w:r w:rsidRPr="008C1384">
              <w:t xml:space="preserve"> </w:t>
            </w:r>
            <w:proofErr w:type="spellStart"/>
            <w:r w:rsidRPr="008C1384">
              <w:t>державну</w:t>
            </w:r>
            <w:proofErr w:type="spellEnd"/>
            <w:r w:rsidRPr="008C1384">
              <w:t xml:space="preserve"> </w:t>
            </w:r>
            <w:proofErr w:type="spellStart"/>
            <w:r w:rsidRPr="008C1384">
              <w:t>митну</w:t>
            </w:r>
            <w:proofErr w:type="spellEnd"/>
            <w:r w:rsidRPr="008C1384">
              <w:t xml:space="preserve"> </w:t>
            </w:r>
            <w:proofErr w:type="spellStart"/>
            <w:r w:rsidRPr="008C1384">
              <w:t>політику</w:t>
            </w:r>
            <w:proofErr w:type="spellEnd"/>
            <w:r w:rsidRPr="008C1384">
              <w:t xml:space="preserve">, </w:t>
            </w:r>
            <w:proofErr w:type="spellStart"/>
            <w:r w:rsidRPr="008C1384">
              <w:t>узагальнює</w:t>
            </w:r>
            <w:proofErr w:type="spellEnd"/>
            <w:r w:rsidRPr="008C1384">
              <w:t xml:space="preserve"> практику </w:t>
            </w:r>
            <w:proofErr w:type="spellStart"/>
            <w:r w:rsidRPr="008C1384">
              <w:t>застосування</w:t>
            </w:r>
            <w:proofErr w:type="spellEnd"/>
            <w:r w:rsidRPr="008C1384">
              <w:t xml:space="preserve"> </w:t>
            </w:r>
            <w:proofErr w:type="spellStart"/>
            <w:r w:rsidRPr="008C1384">
              <w:t>законодавства</w:t>
            </w:r>
            <w:proofErr w:type="spellEnd"/>
            <w:r w:rsidRPr="008C1384">
              <w:t xml:space="preserve">, вносить в </w:t>
            </w:r>
            <w:proofErr w:type="spellStart"/>
            <w:r w:rsidRPr="008C1384">
              <w:t>установленому</w:t>
            </w:r>
            <w:proofErr w:type="spellEnd"/>
            <w:r w:rsidRPr="008C1384">
              <w:t xml:space="preserve"> порядку </w:t>
            </w:r>
            <w:proofErr w:type="spellStart"/>
            <w:r w:rsidRPr="008C1384">
              <w:t>пропозиції</w:t>
            </w:r>
            <w:proofErr w:type="spellEnd"/>
            <w:r w:rsidRPr="008C1384">
              <w:t xml:space="preserve"> </w:t>
            </w:r>
            <w:proofErr w:type="spellStart"/>
            <w:r w:rsidRPr="008C1384">
              <w:t>щодо</w:t>
            </w:r>
            <w:proofErr w:type="spellEnd"/>
            <w:r w:rsidRPr="008C1384">
              <w:t xml:space="preserve"> </w:t>
            </w:r>
            <w:proofErr w:type="spellStart"/>
            <w:r w:rsidRPr="008C1384">
              <w:t>вдосконалення</w:t>
            </w:r>
            <w:proofErr w:type="spellEnd"/>
            <w:r w:rsidRPr="008C1384">
              <w:t xml:space="preserve"> </w:t>
            </w:r>
            <w:proofErr w:type="spellStart"/>
            <w:r w:rsidRPr="008C1384">
              <w:t>законодавчих</w:t>
            </w:r>
            <w:proofErr w:type="spellEnd"/>
            <w:r w:rsidRPr="008C1384">
              <w:t xml:space="preserve"> </w:t>
            </w:r>
            <w:proofErr w:type="spellStart"/>
            <w:r w:rsidRPr="008C1384">
              <w:t>актів</w:t>
            </w:r>
            <w:proofErr w:type="spellEnd"/>
            <w:r w:rsidRPr="008C1384">
              <w:t xml:space="preserve">, </w:t>
            </w:r>
            <w:proofErr w:type="spellStart"/>
            <w:r w:rsidRPr="008C1384">
              <w:t>актів</w:t>
            </w:r>
            <w:proofErr w:type="spellEnd"/>
            <w:r w:rsidRPr="008C1384">
              <w:t xml:space="preserve"> Президента </w:t>
            </w:r>
            <w:proofErr w:type="spellStart"/>
            <w:r w:rsidRPr="008C1384">
              <w:t>України</w:t>
            </w:r>
            <w:proofErr w:type="spellEnd"/>
            <w:r w:rsidRPr="008C1384">
              <w:t xml:space="preserve"> та </w:t>
            </w:r>
            <w:proofErr w:type="spellStart"/>
            <w:r w:rsidRPr="008C1384">
              <w:t>Кабінету</w:t>
            </w:r>
            <w:proofErr w:type="spellEnd"/>
            <w:r w:rsidRPr="008C1384">
              <w:t xml:space="preserve"> </w:t>
            </w:r>
            <w:proofErr w:type="spellStart"/>
            <w:r w:rsidRPr="008C1384">
              <w:t>Міністрів</w:t>
            </w:r>
            <w:proofErr w:type="spellEnd"/>
            <w:r w:rsidRPr="008C1384">
              <w:t xml:space="preserve"> </w:t>
            </w:r>
            <w:proofErr w:type="spellStart"/>
            <w:r w:rsidRPr="008C1384">
              <w:t>України</w:t>
            </w:r>
            <w:proofErr w:type="spellEnd"/>
            <w:r w:rsidRPr="008C1384">
              <w:t>, нормативно-</w:t>
            </w:r>
            <w:proofErr w:type="spellStart"/>
            <w:r w:rsidRPr="008C1384">
              <w:t>правових</w:t>
            </w:r>
            <w:proofErr w:type="spellEnd"/>
            <w:r w:rsidRPr="008C1384">
              <w:t xml:space="preserve"> </w:t>
            </w:r>
            <w:proofErr w:type="spellStart"/>
            <w:r w:rsidRPr="008C1384">
              <w:t>актів</w:t>
            </w:r>
            <w:proofErr w:type="spellEnd"/>
            <w:r w:rsidRPr="008C1384">
              <w:t xml:space="preserve"> </w:t>
            </w:r>
            <w:proofErr w:type="spellStart"/>
            <w:r w:rsidRPr="008C1384">
              <w:t>центральних</w:t>
            </w:r>
            <w:proofErr w:type="spellEnd"/>
            <w:r w:rsidRPr="008C1384">
              <w:t xml:space="preserve"> </w:t>
            </w:r>
            <w:proofErr w:type="spellStart"/>
            <w:r w:rsidRPr="008C1384">
              <w:t>органів</w:t>
            </w:r>
            <w:proofErr w:type="spellEnd"/>
            <w:r w:rsidRPr="008C1384">
              <w:t xml:space="preserve"> </w:t>
            </w:r>
            <w:proofErr w:type="spellStart"/>
            <w:r w:rsidRPr="008C1384">
              <w:t>виконавчої</w:t>
            </w:r>
            <w:proofErr w:type="spellEnd"/>
            <w:r w:rsidRPr="008C1384">
              <w:t xml:space="preserve"> </w:t>
            </w:r>
            <w:proofErr w:type="spellStart"/>
            <w:r w:rsidRPr="008C1384">
              <w:t>влади</w:t>
            </w:r>
            <w:proofErr w:type="spellEnd"/>
            <w:r w:rsidRPr="008C1384">
              <w:t xml:space="preserve"> (</w:t>
            </w:r>
            <w:proofErr w:type="spellStart"/>
            <w:r w:rsidRPr="008C1384">
              <w:t>далі</w:t>
            </w:r>
            <w:proofErr w:type="spellEnd"/>
            <w:r w:rsidRPr="008C1384">
              <w:t xml:space="preserve"> – ЦОВВ), </w:t>
            </w:r>
            <w:proofErr w:type="spellStart"/>
            <w:r w:rsidRPr="008C1384">
              <w:t>наказів</w:t>
            </w:r>
            <w:proofErr w:type="spellEnd"/>
            <w:r w:rsidRPr="008C1384">
              <w:t xml:space="preserve"> </w:t>
            </w:r>
            <w:proofErr w:type="spellStart"/>
            <w:r w:rsidRPr="008C1384">
              <w:t>Мінфіну</w:t>
            </w:r>
            <w:proofErr w:type="spellEnd"/>
            <w:r w:rsidRPr="008C1384">
              <w:t xml:space="preserve">; </w:t>
            </w:r>
            <w:proofErr w:type="spellStart"/>
            <w:r w:rsidRPr="008C1384">
              <w:t>розробляє</w:t>
            </w:r>
            <w:proofErr w:type="spellEnd"/>
            <w:r w:rsidRPr="008C1384">
              <w:t xml:space="preserve"> </w:t>
            </w:r>
            <w:proofErr w:type="spellStart"/>
            <w:r w:rsidRPr="008C1384">
              <w:t>проєкти</w:t>
            </w:r>
            <w:proofErr w:type="spellEnd"/>
            <w:r w:rsidRPr="008C1384">
              <w:t xml:space="preserve"> </w:t>
            </w:r>
            <w:proofErr w:type="spellStart"/>
            <w:r w:rsidRPr="008C1384">
              <w:t>законів</w:t>
            </w:r>
            <w:proofErr w:type="spellEnd"/>
            <w:r w:rsidRPr="008C1384">
              <w:t xml:space="preserve">, </w:t>
            </w:r>
            <w:proofErr w:type="spellStart"/>
            <w:r w:rsidRPr="008C1384">
              <w:t>актів</w:t>
            </w:r>
            <w:proofErr w:type="spellEnd"/>
            <w:r w:rsidRPr="008C1384">
              <w:t xml:space="preserve"> Президента </w:t>
            </w:r>
            <w:proofErr w:type="spellStart"/>
            <w:r w:rsidRPr="008C1384">
              <w:t>України</w:t>
            </w:r>
            <w:proofErr w:type="spellEnd"/>
            <w:r w:rsidRPr="008C1384">
              <w:t xml:space="preserve"> та </w:t>
            </w:r>
            <w:proofErr w:type="spellStart"/>
            <w:r w:rsidRPr="008C1384">
              <w:t>Кабінету</w:t>
            </w:r>
            <w:proofErr w:type="spellEnd"/>
            <w:r w:rsidRPr="008C1384">
              <w:t xml:space="preserve"> </w:t>
            </w:r>
            <w:proofErr w:type="spellStart"/>
            <w:r w:rsidRPr="008C1384">
              <w:t>Міністрів</w:t>
            </w:r>
            <w:proofErr w:type="spellEnd"/>
            <w:r w:rsidRPr="008C1384">
              <w:t xml:space="preserve"> </w:t>
            </w:r>
            <w:proofErr w:type="spellStart"/>
            <w:r w:rsidRPr="008C1384">
              <w:t>України</w:t>
            </w:r>
            <w:proofErr w:type="spellEnd"/>
            <w:r w:rsidRPr="008C1384">
              <w:t xml:space="preserve">, </w:t>
            </w:r>
            <w:proofErr w:type="spellStart"/>
            <w:r w:rsidRPr="008C1384">
              <w:t>наказів</w:t>
            </w:r>
            <w:proofErr w:type="spellEnd"/>
            <w:r w:rsidRPr="008C1384">
              <w:t xml:space="preserve"> </w:t>
            </w:r>
            <w:proofErr w:type="spellStart"/>
            <w:r w:rsidRPr="008C1384">
              <w:t>Мінфіну</w:t>
            </w:r>
            <w:proofErr w:type="spellEnd"/>
            <w:r w:rsidRPr="008C1384">
              <w:t xml:space="preserve">; </w:t>
            </w:r>
            <w:proofErr w:type="spellStart"/>
            <w:r w:rsidRPr="008C1384">
              <w:t>готує</w:t>
            </w:r>
            <w:proofErr w:type="spellEnd"/>
            <w:r w:rsidRPr="008C1384">
              <w:t xml:space="preserve"> </w:t>
            </w:r>
            <w:proofErr w:type="spellStart"/>
            <w:r w:rsidRPr="008C1384">
              <w:t>висновки</w:t>
            </w:r>
            <w:proofErr w:type="spellEnd"/>
            <w:r w:rsidRPr="008C1384">
              <w:t xml:space="preserve"> до </w:t>
            </w:r>
            <w:proofErr w:type="spellStart"/>
            <w:r w:rsidRPr="008C1384">
              <w:t>проєктів</w:t>
            </w:r>
            <w:proofErr w:type="spellEnd"/>
            <w:r w:rsidRPr="008C1384">
              <w:t xml:space="preserve"> нормативно-</w:t>
            </w:r>
            <w:proofErr w:type="spellStart"/>
            <w:r w:rsidRPr="008C1384">
              <w:t>правових</w:t>
            </w:r>
            <w:proofErr w:type="spellEnd"/>
            <w:r w:rsidRPr="008C1384">
              <w:t xml:space="preserve"> </w:t>
            </w:r>
            <w:proofErr w:type="spellStart"/>
            <w:r w:rsidRPr="008C1384">
              <w:t>актів</w:t>
            </w:r>
            <w:proofErr w:type="spellEnd"/>
            <w:r w:rsidRPr="008C1384">
              <w:t xml:space="preserve">, проводить </w:t>
            </w:r>
            <w:proofErr w:type="spellStart"/>
            <w:r w:rsidRPr="008C1384">
              <w:t>їх</w:t>
            </w:r>
            <w:proofErr w:type="spellEnd"/>
            <w:r w:rsidRPr="008C1384">
              <w:t xml:space="preserve"> </w:t>
            </w:r>
            <w:proofErr w:type="spellStart"/>
            <w:r w:rsidRPr="008C1384">
              <w:t>фахову</w:t>
            </w:r>
            <w:proofErr w:type="spellEnd"/>
            <w:r w:rsidRPr="008C1384">
              <w:t xml:space="preserve"> </w:t>
            </w:r>
            <w:proofErr w:type="spellStart"/>
            <w:r w:rsidRPr="008C1384">
              <w:t>експертизу</w:t>
            </w:r>
            <w:proofErr w:type="spellEnd"/>
            <w:r w:rsidRPr="008C1384">
              <w:t xml:space="preserve"> та/</w:t>
            </w:r>
            <w:proofErr w:type="spellStart"/>
            <w:r w:rsidRPr="008C1384">
              <w:t>або</w:t>
            </w:r>
            <w:proofErr w:type="spellEnd"/>
            <w:r w:rsidRPr="008C1384">
              <w:t xml:space="preserve"> </w:t>
            </w:r>
            <w:proofErr w:type="spellStart"/>
            <w:r w:rsidRPr="008C1384">
              <w:t>експертизу</w:t>
            </w:r>
            <w:proofErr w:type="spellEnd"/>
            <w:r w:rsidRPr="008C1384">
              <w:t xml:space="preserve"> </w:t>
            </w:r>
            <w:proofErr w:type="spellStart"/>
            <w:r w:rsidRPr="008C1384">
              <w:t>прийнятих</w:t>
            </w:r>
            <w:proofErr w:type="spellEnd"/>
            <w:r w:rsidRPr="008C1384">
              <w:t xml:space="preserve"> нормативно-</w:t>
            </w:r>
            <w:proofErr w:type="spellStart"/>
            <w:r w:rsidRPr="008C1384">
              <w:t>правових</w:t>
            </w:r>
            <w:proofErr w:type="spellEnd"/>
            <w:r w:rsidRPr="008C1384">
              <w:t xml:space="preserve"> </w:t>
            </w:r>
            <w:proofErr w:type="spellStart"/>
            <w:r w:rsidRPr="008C1384">
              <w:t>актів</w:t>
            </w:r>
            <w:proofErr w:type="spellEnd"/>
            <w:r w:rsidRPr="008C1384">
              <w:t xml:space="preserve">; </w:t>
            </w:r>
            <w:proofErr w:type="spellStart"/>
            <w:r w:rsidRPr="008C1384">
              <w:t>здійснює</w:t>
            </w:r>
            <w:proofErr w:type="spellEnd"/>
            <w:r w:rsidRPr="008C1384">
              <w:t xml:space="preserve"> заходи </w:t>
            </w:r>
            <w:proofErr w:type="spellStart"/>
            <w:r w:rsidRPr="008C1384">
              <w:t>щодо</w:t>
            </w:r>
            <w:proofErr w:type="spellEnd"/>
            <w:r w:rsidRPr="008C1384">
              <w:t xml:space="preserve"> </w:t>
            </w:r>
            <w:proofErr w:type="spellStart"/>
            <w:r w:rsidRPr="008C1384">
              <w:t>адаптації</w:t>
            </w:r>
            <w:proofErr w:type="spellEnd"/>
            <w:r w:rsidRPr="008C1384">
              <w:t xml:space="preserve"> </w:t>
            </w:r>
            <w:proofErr w:type="spellStart"/>
            <w:r w:rsidRPr="008C1384">
              <w:t>законодавства</w:t>
            </w:r>
            <w:proofErr w:type="spellEnd"/>
            <w:r w:rsidRPr="008C1384">
              <w:t xml:space="preserve"> </w:t>
            </w:r>
            <w:proofErr w:type="spellStart"/>
            <w:r w:rsidRPr="008C1384">
              <w:t>України</w:t>
            </w:r>
            <w:proofErr w:type="spellEnd"/>
            <w:r w:rsidRPr="008C1384">
              <w:t xml:space="preserve"> до </w:t>
            </w:r>
            <w:proofErr w:type="spellStart"/>
            <w:r w:rsidRPr="008C1384">
              <w:t>законодавства</w:t>
            </w:r>
            <w:proofErr w:type="spellEnd"/>
            <w:r w:rsidRPr="008C1384">
              <w:t xml:space="preserve"> </w:t>
            </w:r>
            <w:proofErr w:type="spellStart"/>
            <w:r w:rsidRPr="008C1384">
              <w:t>Європейського</w:t>
            </w:r>
            <w:proofErr w:type="spellEnd"/>
            <w:r w:rsidRPr="008C1384">
              <w:t xml:space="preserve"> Союзу.</w:t>
            </w:r>
          </w:p>
          <w:p w:rsidR="00196F3A" w:rsidRPr="008C1384" w:rsidRDefault="00196F3A" w:rsidP="00C633AB">
            <w:pPr>
              <w:jc w:val="both"/>
              <w:rPr>
                <w:bCs/>
                <w:lang w:val="uk-UA"/>
              </w:rPr>
            </w:pPr>
            <w:r w:rsidRPr="008C1384">
              <w:rPr>
                <w:lang w:val="uk-UA"/>
              </w:rPr>
              <w:t>5.</w:t>
            </w:r>
            <w:r w:rsidR="00956832" w:rsidRPr="008C1384">
              <w:rPr>
                <w:lang w:val="uk-UA"/>
              </w:rPr>
              <w:t xml:space="preserve"> Розробка, опрацювання </w:t>
            </w:r>
            <w:r w:rsidRPr="008C1384">
              <w:rPr>
                <w:lang w:val="uk-UA"/>
              </w:rPr>
              <w:t xml:space="preserve">та/або впровадження спрощених митних процедур відповідно до законодавства, сприяння створенню умов для полегшення торгівлі та збільшенню товарообігу через митний кордон України </w:t>
            </w:r>
            <w:r w:rsidRPr="008C1384">
              <w:rPr>
                <w:bCs/>
                <w:lang w:val="uk-UA"/>
              </w:rPr>
              <w:t>у межах компетенції сектору.</w:t>
            </w:r>
          </w:p>
          <w:p w:rsidR="00956832" w:rsidRPr="008C1384" w:rsidRDefault="00956832" w:rsidP="00956832">
            <w:pPr>
              <w:widowControl w:val="0"/>
              <w:jc w:val="both"/>
              <w:rPr>
                <w:lang w:eastAsia="en-US"/>
              </w:rPr>
            </w:pPr>
            <w:r w:rsidRPr="008C1384">
              <w:rPr>
                <w:bCs/>
                <w:lang w:val="uk-UA"/>
              </w:rPr>
              <w:t>6. К</w:t>
            </w:r>
            <w:r w:rsidRPr="008C1384">
              <w:rPr>
                <w:lang w:val="uk-UA"/>
              </w:rPr>
              <w:t xml:space="preserve">оординація діяльності </w:t>
            </w:r>
            <w:r w:rsidRPr="008C1384">
              <w:rPr>
                <w:bCs/>
                <w:lang w:val="uk-UA"/>
              </w:rPr>
              <w:t xml:space="preserve">територіальних органів Держмитслужби </w:t>
            </w:r>
            <w:r w:rsidRPr="008C1384">
              <w:rPr>
                <w:lang w:val="uk-UA"/>
              </w:rPr>
              <w:t>та здійснення контролю порядку застосування цими органами забезпечення сплати митних платежів при поміщенні товарів у митні режими імпорту для кінцевого використання, тимчасового ввезення, переробки на митній території України, переробки за межами митної території.</w:t>
            </w:r>
          </w:p>
          <w:p w:rsidR="00956832" w:rsidRPr="008C1384" w:rsidRDefault="00956832" w:rsidP="00956832">
            <w:pPr>
              <w:jc w:val="both"/>
              <w:rPr>
                <w:bCs/>
                <w:lang w:val="uk-UA"/>
              </w:rPr>
            </w:pPr>
            <w:r w:rsidRPr="008C1384">
              <w:rPr>
                <w:bCs/>
                <w:lang w:val="uk-UA"/>
              </w:rPr>
              <w:t>Координація діяльності територіальних органів щодо здійснення заходів, спрямованих на перерахування до державного бюджету митних платежів у разі невиконання особами, на яких покладається обов’язок із сплати митних платежів, зобов’язань, за якими надавалось забезпечення сплати митних платежів у вказаних випадках.</w:t>
            </w:r>
          </w:p>
          <w:p w:rsidR="00956832" w:rsidRPr="008C1384" w:rsidRDefault="00956832" w:rsidP="00956832">
            <w:pPr>
              <w:jc w:val="both"/>
              <w:rPr>
                <w:lang w:val="uk-UA"/>
              </w:rPr>
            </w:pPr>
            <w:r w:rsidRPr="008C1384">
              <w:rPr>
                <w:bCs/>
                <w:lang w:val="uk-UA"/>
              </w:rPr>
              <w:t xml:space="preserve">7 </w:t>
            </w:r>
            <w:r w:rsidRPr="008C1384">
              <w:rPr>
                <w:lang w:val="uk-UA"/>
              </w:rPr>
              <w:t>Своєчасне та якісне виконання завдань, доручень керівництва Держмитслужби та Департаменту з питань, що належать до компетенції сектору. Підготовка інформаційних, аналітичних та довідкових матеріалів за напрямом роботи сектору.</w:t>
            </w:r>
          </w:p>
          <w:p w:rsidR="00D5291D" w:rsidRPr="008C1384" w:rsidRDefault="00D5291D" w:rsidP="00956832">
            <w:pPr>
              <w:jc w:val="both"/>
              <w:rPr>
                <w:color w:val="000000"/>
                <w:lang w:val="uk-UA"/>
              </w:rPr>
            </w:pPr>
            <w:r w:rsidRPr="008C1384">
              <w:rPr>
                <w:lang w:val="uk-UA"/>
              </w:rPr>
              <w:t>8. </w:t>
            </w:r>
            <w:r w:rsidRPr="008C1384">
              <w:rPr>
                <w:color w:val="000000"/>
                <w:lang w:val="uk-UA"/>
              </w:rPr>
              <w:t>Моніторинг дотримання територіальними органами Держмитслужби законодавства з питань митної справи, в тому числі з використанням інформаційних та інформаційно – аналітичних систем Держмитслужби. Надання територіальним органам Держмитслужби методичної та практичної допомоги з питань, що належать до компетенції сектору.</w:t>
            </w:r>
          </w:p>
          <w:p w:rsidR="0084089A" w:rsidRPr="008C1384" w:rsidRDefault="0084089A" w:rsidP="00956832">
            <w:pPr>
              <w:jc w:val="both"/>
              <w:rPr>
                <w:lang w:val="uk-UA"/>
              </w:rPr>
            </w:pPr>
            <w:r w:rsidRPr="008C1384">
              <w:rPr>
                <w:color w:val="000000"/>
                <w:lang w:val="uk-UA"/>
              </w:rPr>
              <w:t xml:space="preserve">9. Відповідно до компетенції використання інформаційних, комунікаційних та інформаційно-комунікаційних систем Держмитслужби при </w:t>
            </w:r>
            <w:r w:rsidRPr="008C1384">
              <w:rPr>
                <w:color w:val="000000"/>
                <w:lang w:val="uk-UA"/>
              </w:rPr>
              <w:lastRenderedPageBreak/>
              <w:t>особистому виконанні завдань, доручень керівництва з інших питань, що належать  до компетенції сектору, зокрема: участь у нарадах та інших заходах, що проводить керівництво Департаменту, Держмитслужби; участь у роботі комісій, робочих груп, тощо.</w:t>
            </w:r>
          </w:p>
          <w:p w:rsidR="0084089A" w:rsidRPr="008C1384" w:rsidRDefault="0084089A" w:rsidP="00956832">
            <w:pPr>
              <w:jc w:val="both"/>
              <w:rPr>
                <w:lang w:val="uk-UA"/>
              </w:rPr>
            </w:pPr>
            <w:r w:rsidRPr="008C1384">
              <w:rPr>
                <w:lang w:val="uk-UA"/>
              </w:rPr>
              <w:t>10. </w:t>
            </w:r>
            <w:r w:rsidRPr="008C1384">
              <w:rPr>
                <w:color w:val="000000"/>
                <w:lang w:val="uk-UA"/>
              </w:rPr>
              <w:t>Додержання порядку ведення діловодства, правил внутрішнього службового розпорядку, вимог нормативно-правових актів з охорони праці, правил пожежної безпеки.</w:t>
            </w:r>
          </w:p>
        </w:tc>
      </w:tr>
      <w:tr w:rsidR="007C4458" w:rsidRPr="008C1384" w:rsidTr="00CC69DC">
        <w:tc>
          <w:tcPr>
            <w:tcW w:w="7561" w:type="dxa"/>
            <w:gridSpan w:val="5"/>
            <w:shd w:val="clear" w:color="auto" w:fill="auto"/>
          </w:tcPr>
          <w:p w:rsidR="007C4458" w:rsidRPr="008C1384" w:rsidRDefault="007C4458" w:rsidP="007C4458">
            <w:pPr>
              <w:jc w:val="center"/>
              <w:rPr>
                <w:lang w:val="uk-UA"/>
              </w:rPr>
            </w:pPr>
            <w:r w:rsidRPr="008C1384">
              <w:rPr>
                <w:b/>
                <w:lang w:val="uk-UA"/>
              </w:rPr>
              <w:lastRenderedPageBreak/>
              <w:t xml:space="preserve">ІІ. </w:t>
            </w:r>
            <w:r w:rsidRPr="008C1384">
              <w:rPr>
                <w:b/>
                <w:bCs/>
                <w:lang w:val="uk-UA"/>
              </w:rPr>
              <w:t>КВАЛІФІКАЦІЙНІ ВИМОГИ</w:t>
            </w:r>
          </w:p>
        </w:tc>
      </w:tr>
      <w:tr w:rsidR="000E7E3C" w:rsidRPr="008C1384" w:rsidTr="00CC69DC">
        <w:tc>
          <w:tcPr>
            <w:tcW w:w="7561" w:type="dxa"/>
            <w:gridSpan w:val="5"/>
            <w:shd w:val="clear" w:color="auto" w:fill="auto"/>
          </w:tcPr>
          <w:p w:rsidR="000E7E3C" w:rsidRPr="008C1384" w:rsidRDefault="000E7E3C" w:rsidP="000E7E3C">
            <w:pPr>
              <w:numPr>
                <w:ilvl w:val="0"/>
                <w:numId w:val="11"/>
              </w:numPr>
              <w:jc w:val="center"/>
              <w:rPr>
                <w:lang w:val="uk-UA"/>
              </w:rPr>
            </w:pPr>
            <w:r w:rsidRPr="008C1384">
              <w:rPr>
                <w:lang w:val="uk-UA"/>
              </w:rPr>
              <w:t>Загальні вимоги</w:t>
            </w:r>
          </w:p>
        </w:tc>
      </w:tr>
      <w:tr w:rsidR="008C1384" w:rsidRPr="008C1384" w:rsidTr="008C1384">
        <w:tc>
          <w:tcPr>
            <w:tcW w:w="498" w:type="dxa"/>
            <w:shd w:val="clear" w:color="auto" w:fill="auto"/>
          </w:tcPr>
          <w:p w:rsidR="008C1384" w:rsidRPr="008C1384" w:rsidRDefault="008C1384" w:rsidP="008C1384">
            <w:pPr>
              <w:rPr>
                <w:lang w:val="uk-UA"/>
              </w:rPr>
            </w:pPr>
            <w:r w:rsidRPr="008C1384">
              <w:rPr>
                <w:lang w:val="uk-UA"/>
              </w:rPr>
              <w:t>1.1</w:t>
            </w:r>
          </w:p>
        </w:tc>
        <w:tc>
          <w:tcPr>
            <w:tcW w:w="3073" w:type="dxa"/>
            <w:gridSpan w:val="2"/>
            <w:shd w:val="clear" w:color="auto" w:fill="auto"/>
          </w:tcPr>
          <w:p w:rsidR="008C1384" w:rsidRPr="008C1384" w:rsidRDefault="008C1384" w:rsidP="008C1384">
            <w:pPr>
              <w:rPr>
                <w:lang w:val="uk-UA"/>
              </w:rPr>
            </w:pPr>
            <w:r w:rsidRPr="008C1384">
              <w:rPr>
                <w:lang w:val="uk-UA"/>
              </w:rPr>
              <w:t>Освіта</w:t>
            </w:r>
          </w:p>
        </w:tc>
        <w:tc>
          <w:tcPr>
            <w:tcW w:w="3990" w:type="dxa"/>
            <w:gridSpan w:val="2"/>
            <w:shd w:val="clear" w:color="auto" w:fill="auto"/>
          </w:tcPr>
          <w:p w:rsidR="008C1384" w:rsidRPr="008C1384" w:rsidRDefault="008C1384" w:rsidP="008C1384">
            <w:pPr>
              <w:rPr>
                <w:lang w:val="uk-UA"/>
              </w:rPr>
            </w:pPr>
            <w:r>
              <w:rPr>
                <w:color w:val="000000"/>
                <w:lang w:val="uk-UA"/>
              </w:rPr>
              <w:t>Н</w:t>
            </w:r>
            <w:r w:rsidRPr="008C1384">
              <w:rPr>
                <w:color w:val="000000"/>
                <w:lang w:val="uk-UA"/>
              </w:rPr>
              <w:t>аявність вищої освіти ступеня не нижче молодшого бакалавра або бакалавра</w:t>
            </w:r>
          </w:p>
        </w:tc>
      </w:tr>
      <w:tr w:rsidR="008C1384" w:rsidRPr="008C1384" w:rsidTr="008C1384">
        <w:trPr>
          <w:trHeight w:val="380"/>
        </w:trPr>
        <w:tc>
          <w:tcPr>
            <w:tcW w:w="498" w:type="dxa"/>
            <w:shd w:val="clear" w:color="auto" w:fill="auto"/>
          </w:tcPr>
          <w:p w:rsidR="008C1384" w:rsidRPr="008C1384" w:rsidRDefault="008C1384" w:rsidP="008C1384">
            <w:pPr>
              <w:rPr>
                <w:lang w:val="uk-UA"/>
              </w:rPr>
            </w:pPr>
            <w:r w:rsidRPr="008C1384">
              <w:rPr>
                <w:caps/>
                <w:lang w:val="uk-UA"/>
              </w:rPr>
              <w:t>1.2</w:t>
            </w:r>
          </w:p>
        </w:tc>
        <w:tc>
          <w:tcPr>
            <w:tcW w:w="3073" w:type="dxa"/>
            <w:gridSpan w:val="2"/>
            <w:shd w:val="clear" w:color="auto" w:fill="auto"/>
          </w:tcPr>
          <w:p w:rsidR="008C1384" w:rsidRPr="008C1384" w:rsidRDefault="008C1384" w:rsidP="008C1384">
            <w:pPr>
              <w:rPr>
                <w:lang w:val="uk-UA"/>
              </w:rPr>
            </w:pPr>
            <w:r w:rsidRPr="008C1384">
              <w:rPr>
                <w:lang w:val="uk-UA"/>
              </w:rPr>
              <w:t>Досвід роботи</w:t>
            </w:r>
          </w:p>
        </w:tc>
        <w:tc>
          <w:tcPr>
            <w:tcW w:w="3990" w:type="dxa"/>
            <w:gridSpan w:val="2"/>
            <w:shd w:val="clear" w:color="auto" w:fill="auto"/>
          </w:tcPr>
          <w:p w:rsidR="008C1384" w:rsidRPr="008C1384" w:rsidRDefault="008C1384" w:rsidP="008C1384">
            <w:pPr>
              <w:jc w:val="both"/>
              <w:rPr>
                <w:lang w:val="uk-UA"/>
              </w:rPr>
            </w:pPr>
            <w:r>
              <w:rPr>
                <w:shd w:val="clear" w:color="auto" w:fill="FFFFFF"/>
                <w:lang w:val="uk-UA"/>
              </w:rPr>
              <w:t>Н</w:t>
            </w:r>
            <w:r w:rsidRPr="008C1384">
              <w:rPr>
                <w:shd w:val="clear" w:color="auto" w:fill="FFFFFF"/>
                <w:lang w:val="uk-UA"/>
              </w:rPr>
              <w:t>е потребує</w:t>
            </w:r>
          </w:p>
        </w:tc>
      </w:tr>
      <w:tr w:rsidR="008F0997" w:rsidRPr="008C1384" w:rsidTr="008C1384">
        <w:tc>
          <w:tcPr>
            <w:tcW w:w="498" w:type="dxa"/>
            <w:shd w:val="clear" w:color="auto" w:fill="auto"/>
          </w:tcPr>
          <w:p w:rsidR="008F0997" w:rsidRPr="008C1384" w:rsidRDefault="009447DD" w:rsidP="00FC6E60">
            <w:pPr>
              <w:rPr>
                <w:caps/>
                <w:lang w:val="uk-UA"/>
              </w:rPr>
            </w:pPr>
            <w:r w:rsidRPr="008C1384">
              <w:rPr>
                <w:caps/>
                <w:lang w:val="uk-UA"/>
              </w:rPr>
              <w:t>1.</w:t>
            </w:r>
            <w:r w:rsidR="00FC6E60" w:rsidRPr="008C1384">
              <w:rPr>
                <w:caps/>
                <w:lang w:val="en-US"/>
              </w:rPr>
              <w:t>3</w:t>
            </w:r>
          </w:p>
        </w:tc>
        <w:tc>
          <w:tcPr>
            <w:tcW w:w="3073" w:type="dxa"/>
            <w:gridSpan w:val="2"/>
            <w:shd w:val="clear" w:color="auto" w:fill="auto"/>
          </w:tcPr>
          <w:p w:rsidR="000E7E3C" w:rsidRPr="008C1384" w:rsidRDefault="000E7E3C" w:rsidP="00274E19">
            <w:pPr>
              <w:jc w:val="both"/>
              <w:rPr>
                <w:caps/>
                <w:lang w:val="uk-UA"/>
              </w:rPr>
            </w:pPr>
            <w:r w:rsidRPr="008C1384">
              <w:rPr>
                <w:lang w:val="uk-UA"/>
              </w:rPr>
              <w:t>Володіння державною мовою</w:t>
            </w:r>
          </w:p>
        </w:tc>
        <w:tc>
          <w:tcPr>
            <w:tcW w:w="3990" w:type="dxa"/>
            <w:gridSpan w:val="2"/>
            <w:shd w:val="clear" w:color="auto" w:fill="auto"/>
          </w:tcPr>
          <w:p w:rsidR="008F0997" w:rsidRPr="008C1384" w:rsidRDefault="00CC69DC" w:rsidP="007F2A40">
            <w:pPr>
              <w:jc w:val="both"/>
              <w:rPr>
                <w:lang w:val="uk-UA"/>
              </w:rPr>
            </w:pPr>
            <w:r w:rsidRPr="008C1384">
              <w:rPr>
                <w:color w:val="333333"/>
                <w:shd w:val="clear" w:color="auto" w:fill="FFFFFF"/>
                <w:lang w:val="uk-UA"/>
              </w:rPr>
              <w:t>В</w:t>
            </w:r>
            <w:r w:rsidR="00B41DDF" w:rsidRPr="008C1384">
              <w:rPr>
                <w:color w:val="333333"/>
                <w:shd w:val="clear" w:color="auto" w:fill="FFFFFF"/>
                <w:lang w:val="uk-UA"/>
              </w:rPr>
              <w:t>ільне володіння державною мовою</w:t>
            </w:r>
          </w:p>
        </w:tc>
      </w:tr>
      <w:tr w:rsidR="000E093F" w:rsidRPr="008C1384" w:rsidTr="008C1384">
        <w:tc>
          <w:tcPr>
            <w:tcW w:w="498" w:type="dxa"/>
            <w:shd w:val="clear" w:color="auto" w:fill="auto"/>
          </w:tcPr>
          <w:p w:rsidR="000E093F" w:rsidRPr="008C1384" w:rsidRDefault="000E093F" w:rsidP="00FC6E60">
            <w:pPr>
              <w:rPr>
                <w:caps/>
                <w:lang w:val="uk-UA"/>
              </w:rPr>
            </w:pPr>
            <w:r w:rsidRPr="008C1384">
              <w:rPr>
                <w:caps/>
                <w:lang w:val="uk-UA"/>
              </w:rPr>
              <w:t>1.4</w:t>
            </w:r>
          </w:p>
        </w:tc>
        <w:tc>
          <w:tcPr>
            <w:tcW w:w="3073" w:type="dxa"/>
            <w:gridSpan w:val="2"/>
            <w:shd w:val="clear" w:color="auto" w:fill="auto"/>
          </w:tcPr>
          <w:p w:rsidR="000E093F" w:rsidRPr="008C1384" w:rsidRDefault="000E093F" w:rsidP="00591B10">
            <w:pPr>
              <w:jc w:val="both"/>
              <w:rPr>
                <w:lang w:val="uk-UA"/>
              </w:rPr>
            </w:pPr>
            <w:r w:rsidRPr="008C1384">
              <w:rPr>
                <w:lang w:val="uk-UA"/>
              </w:rPr>
              <w:t>Володіння іноземною мово</w:t>
            </w:r>
            <w:r w:rsidR="00591B10" w:rsidRPr="008C1384">
              <w:rPr>
                <w:lang w:val="uk-UA"/>
              </w:rPr>
              <w:t>ю</w:t>
            </w:r>
          </w:p>
        </w:tc>
        <w:tc>
          <w:tcPr>
            <w:tcW w:w="3990" w:type="dxa"/>
            <w:gridSpan w:val="2"/>
            <w:shd w:val="clear" w:color="auto" w:fill="auto"/>
          </w:tcPr>
          <w:p w:rsidR="000E093F" w:rsidRPr="008C1384" w:rsidRDefault="00CC69DC" w:rsidP="007221EF">
            <w:pPr>
              <w:jc w:val="both"/>
              <w:rPr>
                <w:lang w:val="uk-UA"/>
              </w:rPr>
            </w:pPr>
            <w:r w:rsidRPr="008C1384">
              <w:rPr>
                <w:rStyle w:val="spanrvts0"/>
                <w:lang w:val="uk-UA" w:eastAsia="uk-UA"/>
              </w:rPr>
              <w:t>В</w:t>
            </w:r>
            <w:r w:rsidR="007221EF" w:rsidRPr="008C1384">
              <w:rPr>
                <w:rStyle w:val="spanrvts0"/>
                <w:lang w:val="uk-UA" w:eastAsia="uk-UA"/>
              </w:rPr>
              <w:t>олодіння англійською мовою</w:t>
            </w:r>
            <w:r w:rsidR="00591B10" w:rsidRPr="008C1384">
              <w:rPr>
                <w:rStyle w:val="spanrvts0"/>
                <w:lang w:val="uk-UA" w:eastAsia="uk-UA"/>
              </w:rPr>
              <w:t xml:space="preserve"> </w:t>
            </w:r>
            <w:r w:rsidR="00E532E8" w:rsidRPr="008C1384">
              <w:rPr>
                <w:rStyle w:val="spanrvts0"/>
                <w:lang w:val="uk-UA" w:eastAsia="uk-UA"/>
              </w:rPr>
              <w:t>є додатковою перевагою</w:t>
            </w:r>
          </w:p>
        </w:tc>
      </w:tr>
      <w:tr w:rsidR="007C26CB" w:rsidRPr="008C1384" w:rsidTr="008C1384">
        <w:tc>
          <w:tcPr>
            <w:tcW w:w="498" w:type="dxa"/>
            <w:shd w:val="clear" w:color="auto" w:fill="auto"/>
          </w:tcPr>
          <w:p w:rsidR="007C26CB" w:rsidRPr="008C1384" w:rsidRDefault="000E093F" w:rsidP="00FC6E60">
            <w:pPr>
              <w:rPr>
                <w:caps/>
                <w:lang w:val="uk-UA"/>
              </w:rPr>
            </w:pPr>
            <w:r w:rsidRPr="008C1384">
              <w:rPr>
                <w:caps/>
                <w:lang w:val="uk-UA"/>
              </w:rPr>
              <w:t>1.5</w:t>
            </w:r>
          </w:p>
        </w:tc>
        <w:tc>
          <w:tcPr>
            <w:tcW w:w="3073" w:type="dxa"/>
            <w:gridSpan w:val="2"/>
            <w:shd w:val="clear" w:color="auto" w:fill="auto"/>
          </w:tcPr>
          <w:p w:rsidR="000E7E3C" w:rsidRPr="008C1384" w:rsidRDefault="007C26CB" w:rsidP="00274E19">
            <w:pPr>
              <w:jc w:val="both"/>
              <w:rPr>
                <w:lang w:val="uk-UA"/>
              </w:rPr>
            </w:pPr>
            <w:r w:rsidRPr="008C1384">
              <w:rPr>
                <w:lang w:val="uk-UA"/>
              </w:rPr>
              <w:t>Інформація про строковість призначення на посаду</w:t>
            </w:r>
            <w:r w:rsidR="00B41DDF" w:rsidRPr="008C1384">
              <w:rPr>
                <w:lang w:val="uk-UA"/>
              </w:rPr>
              <w:t xml:space="preserve"> (укладення контракту про проходження служби в митних органах)</w:t>
            </w:r>
          </w:p>
        </w:tc>
        <w:tc>
          <w:tcPr>
            <w:tcW w:w="3990" w:type="dxa"/>
            <w:gridSpan w:val="2"/>
            <w:shd w:val="clear" w:color="auto" w:fill="auto"/>
          </w:tcPr>
          <w:p w:rsidR="007C26CB" w:rsidRPr="008C1384" w:rsidRDefault="007D60F8" w:rsidP="007D60F8">
            <w:pPr>
              <w:jc w:val="both"/>
              <w:rPr>
                <w:lang w:val="uk-UA"/>
              </w:rPr>
            </w:pPr>
            <w:r w:rsidRPr="008C1384">
              <w:rPr>
                <w:lang w:val="uk-UA"/>
              </w:rPr>
              <w:t>Строкове призначення з укладенням контракту про проходження служби в митних органах</w:t>
            </w:r>
          </w:p>
        </w:tc>
      </w:tr>
      <w:tr w:rsidR="000E7E3C" w:rsidRPr="008C1384" w:rsidTr="00CC69DC">
        <w:tc>
          <w:tcPr>
            <w:tcW w:w="7561" w:type="dxa"/>
            <w:gridSpan w:val="5"/>
            <w:shd w:val="clear" w:color="auto" w:fill="auto"/>
          </w:tcPr>
          <w:p w:rsidR="000E7E3C" w:rsidRPr="008C1384" w:rsidRDefault="000E7E3C" w:rsidP="000E7E3C">
            <w:pPr>
              <w:numPr>
                <w:ilvl w:val="0"/>
                <w:numId w:val="11"/>
              </w:numPr>
              <w:jc w:val="center"/>
              <w:rPr>
                <w:lang w:val="uk-UA"/>
              </w:rPr>
            </w:pPr>
            <w:r w:rsidRPr="008C1384">
              <w:rPr>
                <w:lang w:val="uk-UA"/>
              </w:rPr>
              <w:t>Спеціальні вимоги</w:t>
            </w:r>
          </w:p>
        </w:tc>
      </w:tr>
      <w:tr w:rsidR="00CC69DC" w:rsidRPr="008C1384" w:rsidTr="008C1384">
        <w:tc>
          <w:tcPr>
            <w:tcW w:w="498" w:type="dxa"/>
            <w:shd w:val="clear" w:color="auto" w:fill="auto"/>
          </w:tcPr>
          <w:p w:rsidR="00CC69DC" w:rsidRPr="008C1384" w:rsidRDefault="00CC69DC" w:rsidP="00CC69DC">
            <w:pPr>
              <w:rPr>
                <w:caps/>
                <w:lang w:val="uk-UA"/>
              </w:rPr>
            </w:pPr>
            <w:r w:rsidRPr="008C1384">
              <w:rPr>
                <w:caps/>
                <w:lang w:val="uk-UA"/>
              </w:rPr>
              <w:t>2.1</w:t>
            </w:r>
          </w:p>
        </w:tc>
        <w:tc>
          <w:tcPr>
            <w:tcW w:w="3073" w:type="dxa"/>
            <w:gridSpan w:val="2"/>
            <w:shd w:val="clear" w:color="auto" w:fill="auto"/>
          </w:tcPr>
          <w:p w:rsidR="00CC69DC" w:rsidRPr="008C1384" w:rsidRDefault="00CC69DC" w:rsidP="00CC69DC">
            <w:pPr>
              <w:rPr>
                <w:caps/>
                <w:lang w:val="uk-UA"/>
              </w:rPr>
            </w:pPr>
            <w:r w:rsidRPr="008C1384">
              <w:rPr>
                <w:lang w:val="uk-UA"/>
              </w:rPr>
              <w:t>Освіта (галузь знань, спеціальність)</w:t>
            </w:r>
          </w:p>
        </w:tc>
        <w:tc>
          <w:tcPr>
            <w:tcW w:w="3990" w:type="dxa"/>
            <w:gridSpan w:val="2"/>
            <w:shd w:val="clear" w:color="auto" w:fill="auto"/>
          </w:tcPr>
          <w:p w:rsidR="00CC69DC" w:rsidRPr="008C1384" w:rsidRDefault="009B7177" w:rsidP="009B7177">
            <w:pPr>
              <w:rPr>
                <w:lang w:val="uk-UA"/>
              </w:rPr>
            </w:pPr>
            <w:r w:rsidRPr="008C1384">
              <w:rPr>
                <w:lang w:val="uk-UA"/>
              </w:rPr>
              <w:t>-</w:t>
            </w:r>
          </w:p>
        </w:tc>
      </w:tr>
      <w:tr w:rsidR="00CC69DC" w:rsidRPr="008C1384" w:rsidTr="008C1384">
        <w:tc>
          <w:tcPr>
            <w:tcW w:w="498" w:type="dxa"/>
            <w:shd w:val="clear" w:color="auto" w:fill="auto"/>
          </w:tcPr>
          <w:p w:rsidR="00CC69DC" w:rsidRPr="008C1384" w:rsidRDefault="00CC69DC" w:rsidP="00CC69DC">
            <w:pPr>
              <w:rPr>
                <w:caps/>
                <w:lang w:val="uk-UA"/>
              </w:rPr>
            </w:pPr>
            <w:r w:rsidRPr="008C1384">
              <w:rPr>
                <w:caps/>
                <w:lang w:val="uk-UA"/>
              </w:rPr>
              <w:t>2.2</w:t>
            </w:r>
          </w:p>
        </w:tc>
        <w:tc>
          <w:tcPr>
            <w:tcW w:w="3073" w:type="dxa"/>
            <w:gridSpan w:val="2"/>
            <w:shd w:val="clear" w:color="auto" w:fill="auto"/>
          </w:tcPr>
          <w:p w:rsidR="00CC69DC" w:rsidRPr="008C1384" w:rsidRDefault="00CC69DC" w:rsidP="00CC69DC">
            <w:pPr>
              <w:rPr>
                <w:caps/>
                <w:lang w:val="uk-UA"/>
              </w:rPr>
            </w:pPr>
            <w:r w:rsidRPr="008C1384">
              <w:rPr>
                <w:lang w:val="uk-UA"/>
              </w:rPr>
              <w:t>Спеціальний досвід роботи (тривалість, сфера чи напрямок роботи)</w:t>
            </w:r>
          </w:p>
        </w:tc>
        <w:tc>
          <w:tcPr>
            <w:tcW w:w="3990" w:type="dxa"/>
            <w:gridSpan w:val="2"/>
            <w:shd w:val="clear" w:color="auto" w:fill="auto"/>
          </w:tcPr>
          <w:p w:rsidR="00CC69DC" w:rsidRPr="008C1384" w:rsidRDefault="00CC69DC" w:rsidP="00CC69DC">
            <w:pPr>
              <w:rPr>
                <w:lang w:val="uk-UA"/>
              </w:rPr>
            </w:pPr>
            <w:r w:rsidRPr="008C1384">
              <w:rPr>
                <w:lang w:val="uk-UA"/>
              </w:rPr>
              <w:t>-</w:t>
            </w:r>
          </w:p>
        </w:tc>
      </w:tr>
      <w:tr w:rsidR="00CC69DC" w:rsidRPr="008C1384" w:rsidTr="008C1384">
        <w:tc>
          <w:tcPr>
            <w:tcW w:w="498" w:type="dxa"/>
            <w:shd w:val="clear" w:color="auto" w:fill="auto"/>
          </w:tcPr>
          <w:p w:rsidR="00CC69DC" w:rsidRPr="008C1384" w:rsidRDefault="00CC69DC" w:rsidP="00CC69DC">
            <w:pPr>
              <w:rPr>
                <w:caps/>
                <w:lang w:val="uk-UA"/>
              </w:rPr>
            </w:pPr>
            <w:r w:rsidRPr="008C1384">
              <w:rPr>
                <w:lang w:val="uk-UA"/>
              </w:rPr>
              <w:t>2.3</w:t>
            </w:r>
          </w:p>
        </w:tc>
        <w:tc>
          <w:tcPr>
            <w:tcW w:w="3073" w:type="dxa"/>
            <w:gridSpan w:val="2"/>
            <w:tcBorders>
              <w:top w:val="single" w:sz="4" w:space="0" w:color="auto"/>
              <w:left w:val="single" w:sz="4" w:space="0" w:color="auto"/>
              <w:bottom w:val="single" w:sz="4" w:space="0" w:color="auto"/>
              <w:right w:val="single" w:sz="4" w:space="0" w:color="auto"/>
            </w:tcBorders>
          </w:tcPr>
          <w:p w:rsidR="00CC69DC" w:rsidRPr="008C1384" w:rsidRDefault="00CC69DC" w:rsidP="00CC69DC">
            <w:pPr>
              <w:rPr>
                <w:lang w:val="uk-UA"/>
              </w:rPr>
            </w:pPr>
            <w:r w:rsidRPr="008C1384">
              <w:rPr>
                <w:lang w:val="uk-UA"/>
              </w:rPr>
              <w:t xml:space="preserve">Вимоги до </w:t>
            </w:r>
            <w:proofErr w:type="spellStart"/>
            <w:r w:rsidRPr="008C1384">
              <w:rPr>
                <w:lang w:val="uk-UA"/>
              </w:rPr>
              <w:t>компетентностей</w:t>
            </w:r>
            <w:proofErr w:type="spellEnd"/>
            <w:r w:rsidRPr="008C1384">
              <w:rPr>
                <w:lang w:val="uk-UA"/>
              </w:rPr>
              <w:t>:</w:t>
            </w:r>
          </w:p>
        </w:tc>
        <w:tc>
          <w:tcPr>
            <w:tcW w:w="3990" w:type="dxa"/>
            <w:gridSpan w:val="2"/>
            <w:shd w:val="clear" w:color="auto" w:fill="auto"/>
          </w:tcPr>
          <w:p w:rsidR="00CC69DC" w:rsidRPr="008C1384" w:rsidRDefault="00CC69DC" w:rsidP="00CC69DC">
            <w:pPr>
              <w:jc w:val="both"/>
              <w:rPr>
                <w:lang w:val="uk-UA"/>
              </w:rPr>
            </w:pPr>
          </w:p>
        </w:tc>
      </w:tr>
      <w:tr w:rsidR="00CC69DC" w:rsidRPr="008C1384" w:rsidTr="008C1384">
        <w:tc>
          <w:tcPr>
            <w:tcW w:w="498" w:type="dxa"/>
            <w:shd w:val="clear" w:color="auto" w:fill="auto"/>
          </w:tcPr>
          <w:p w:rsidR="00CC69DC" w:rsidRPr="008C1384" w:rsidRDefault="00CC69DC" w:rsidP="00CC69DC">
            <w:pPr>
              <w:rPr>
                <w:lang w:val="uk-UA"/>
              </w:rPr>
            </w:pPr>
          </w:p>
        </w:tc>
        <w:tc>
          <w:tcPr>
            <w:tcW w:w="3073" w:type="dxa"/>
            <w:gridSpan w:val="2"/>
            <w:tcBorders>
              <w:top w:val="single" w:sz="4" w:space="0" w:color="auto"/>
              <w:left w:val="single" w:sz="4" w:space="0" w:color="auto"/>
              <w:bottom w:val="single" w:sz="4" w:space="0" w:color="auto"/>
              <w:right w:val="single" w:sz="4" w:space="0" w:color="auto"/>
            </w:tcBorders>
            <w:vAlign w:val="center"/>
          </w:tcPr>
          <w:p w:rsidR="00CC69DC" w:rsidRPr="008C1384" w:rsidRDefault="00CC69DC" w:rsidP="00CC69DC">
            <w:pPr>
              <w:rPr>
                <w:lang w:val="uk-UA"/>
              </w:rPr>
            </w:pPr>
            <w:r w:rsidRPr="008C1384">
              <w:rPr>
                <w:lang w:val="uk-UA"/>
              </w:rPr>
              <w:t>1. Операційні (митні) компетенції</w:t>
            </w:r>
          </w:p>
        </w:tc>
        <w:tc>
          <w:tcPr>
            <w:tcW w:w="3990" w:type="dxa"/>
            <w:gridSpan w:val="2"/>
            <w:shd w:val="clear" w:color="auto" w:fill="auto"/>
          </w:tcPr>
          <w:p w:rsidR="00CC69DC" w:rsidRPr="00436F35" w:rsidRDefault="00E46748" w:rsidP="009B7177">
            <w:pPr>
              <w:jc w:val="both"/>
              <w:rPr>
                <w:lang w:val="uk-UA"/>
              </w:rPr>
            </w:pPr>
            <w:r w:rsidRPr="00436F35">
              <w:rPr>
                <w:lang w:val="uk-UA"/>
              </w:rPr>
              <w:t>Митні процедури</w:t>
            </w:r>
          </w:p>
          <w:p w:rsidR="00E46748" w:rsidRPr="00436F35" w:rsidRDefault="00E46748" w:rsidP="009B7177">
            <w:pPr>
              <w:jc w:val="both"/>
              <w:rPr>
                <w:lang w:val="uk-UA"/>
              </w:rPr>
            </w:pPr>
            <w:r w:rsidRPr="00436F35">
              <w:rPr>
                <w:lang w:val="uk-UA"/>
              </w:rPr>
              <w:t>Митна вартість</w:t>
            </w:r>
          </w:p>
          <w:p w:rsidR="00E46748" w:rsidRPr="00436F35" w:rsidRDefault="00E46748" w:rsidP="009B7177">
            <w:pPr>
              <w:jc w:val="both"/>
              <w:rPr>
                <w:lang w:val="uk-UA"/>
              </w:rPr>
            </w:pPr>
            <w:r w:rsidRPr="00436F35">
              <w:rPr>
                <w:lang w:val="uk-UA"/>
              </w:rPr>
              <w:t>Авторизація</w:t>
            </w:r>
          </w:p>
          <w:p w:rsidR="00E46748" w:rsidRPr="008C1384" w:rsidRDefault="00E46748" w:rsidP="009B7177">
            <w:pPr>
              <w:jc w:val="both"/>
              <w:rPr>
                <w:color w:val="FF0000"/>
                <w:lang w:val="uk-UA"/>
              </w:rPr>
            </w:pPr>
            <w:r w:rsidRPr="00436F35">
              <w:rPr>
                <w:lang w:val="uk-UA"/>
              </w:rPr>
              <w:t>Підтримка митниці (організаційне забезпечення)</w:t>
            </w:r>
          </w:p>
        </w:tc>
      </w:tr>
      <w:tr w:rsidR="00CC69DC" w:rsidRPr="008C1384" w:rsidTr="008C1384">
        <w:tc>
          <w:tcPr>
            <w:tcW w:w="498" w:type="dxa"/>
            <w:shd w:val="clear" w:color="auto" w:fill="auto"/>
          </w:tcPr>
          <w:p w:rsidR="00CC69DC" w:rsidRPr="008C1384" w:rsidRDefault="00CC69DC" w:rsidP="00CC69DC">
            <w:pPr>
              <w:rPr>
                <w:lang w:val="uk-UA"/>
              </w:rPr>
            </w:pPr>
          </w:p>
        </w:tc>
        <w:tc>
          <w:tcPr>
            <w:tcW w:w="3073" w:type="dxa"/>
            <w:gridSpan w:val="2"/>
            <w:tcBorders>
              <w:top w:val="single" w:sz="4" w:space="0" w:color="auto"/>
              <w:left w:val="single" w:sz="4" w:space="0" w:color="auto"/>
              <w:bottom w:val="single" w:sz="4" w:space="0" w:color="auto"/>
              <w:right w:val="single" w:sz="4" w:space="0" w:color="auto"/>
            </w:tcBorders>
          </w:tcPr>
          <w:p w:rsidR="00CC69DC" w:rsidRPr="008C1384" w:rsidRDefault="00CC69DC" w:rsidP="00CC69DC">
            <w:pPr>
              <w:rPr>
                <w:lang w:val="uk-UA"/>
              </w:rPr>
            </w:pPr>
            <w:r w:rsidRPr="008C1384">
              <w:rPr>
                <w:lang w:val="uk-UA"/>
              </w:rPr>
              <w:t>2. Управлінські компетенції</w:t>
            </w:r>
          </w:p>
        </w:tc>
        <w:tc>
          <w:tcPr>
            <w:tcW w:w="3990" w:type="dxa"/>
            <w:gridSpan w:val="2"/>
            <w:shd w:val="clear" w:color="auto" w:fill="auto"/>
          </w:tcPr>
          <w:p w:rsidR="00CC69DC" w:rsidRPr="008C1384" w:rsidRDefault="00D4597A" w:rsidP="00CC69DC">
            <w:pPr>
              <w:jc w:val="both"/>
              <w:rPr>
                <w:color w:val="FF0000"/>
                <w:lang w:val="uk-UA"/>
              </w:rPr>
            </w:pPr>
            <w:r w:rsidRPr="008C1384">
              <w:rPr>
                <w:color w:val="FF0000"/>
                <w:lang w:val="uk-UA"/>
              </w:rPr>
              <w:t>-</w:t>
            </w:r>
          </w:p>
        </w:tc>
      </w:tr>
      <w:tr w:rsidR="00CC69DC" w:rsidRPr="008C1384" w:rsidTr="008C1384">
        <w:tc>
          <w:tcPr>
            <w:tcW w:w="498" w:type="dxa"/>
            <w:shd w:val="clear" w:color="auto" w:fill="auto"/>
          </w:tcPr>
          <w:p w:rsidR="00CC69DC" w:rsidRPr="008C1384" w:rsidRDefault="00CC69DC" w:rsidP="00CC69DC">
            <w:pPr>
              <w:rPr>
                <w:lang w:val="uk-UA"/>
              </w:rPr>
            </w:pPr>
          </w:p>
        </w:tc>
        <w:tc>
          <w:tcPr>
            <w:tcW w:w="3073" w:type="dxa"/>
            <w:gridSpan w:val="2"/>
            <w:tcBorders>
              <w:top w:val="single" w:sz="4" w:space="0" w:color="auto"/>
              <w:left w:val="single" w:sz="4" w:space="0" w:color="auto"/>
              <w:bottom w:val="single" w:sz="4" w:space="0" w:color="auto"/>
              <w:right w:val="single" w:sz="4" w:space="0" w:color="auto"/>
            </w:tcBorders>
          </w:tcPr>
          <w:p w:rsidR="00CC69DC" w:rsidRPr="008C1384" w:rsidRDefault="00CC69DC" w:rsidP="00CC69DC">
            <w:pPr>
              <w:rPr>
                <w:lang w:val="uk-UA"/>
              </w:rPr>
            </w:pPr>
            <w:r w:rsidRPr="008C1384">
              <w:rPr>
                <w:lang w:val="uk-UA"/>
              </w:rPr>
              <w:t>3. Професійні (поведінкові) компетенції</w:t>
            </w:r>
          </w:p>
        </w:tc>
        <w:tc>
          <w:tcPr>
            <w:tcW w:w="3990" w:type="dxa"/>
            <w:gridSpan w:val="2"/>
            <w:shd w:val="clear" w:color="auto" w:fill="auto"/>
          </w:tcPr>
          <w:p w:rsidR="00CC69DC" w:rsidRDefault="00E46748" w:rsidP="009C5854">
            <w:pPr>
              <w:autoSpaceDE w:val="0"/>
              <w:autoSpaceDN w:val="0"/>
              <w:adjustRightInd w:val="0"/>
              <w:jc w:val="both"/>
              <w:rPr>
                <w:rFonts w:eastAsia="Calibri"/>
                <w:lang w:val="uk-UA" w:eastAsia="uk-UA"/>
              </w:rPr>
            </w:pPr>
            <w:r>
              <w:rPr>
                <w:rFonts w:eastAsia="Calibri"/>
                <w:lang w:val="uk-UA" w:eastAsia="uk-UA"/>
              </w:rPr>
              <w:t>Аналітичні здібності</w:t>
            </w:r>
          </w:p>
          <w:p w:rsidR="00E46748" w:rsidRDefault="00E46748" w:rsidP="009C5854">
            <w:pPr>
              <w:autoSpaceDE w:val="0"/>
              <w:autoSpaceDN w:val="0"/>
              <w:adjustRightInd w:val="0"/>
              <w:jc w:val="both"/>
              <w:rPr>
                <w:rFonts w:eastAsia="Calibri"/>
                <w:lang w:val="uk-UA" w:eastAsia="uk-UA"/>
              </w:rPr>
            </w:pPr>
            <w:r>
              <w:rPr>
                <w:rFonts w:eastAsia="Calibri"/>
                <w:lang w:val="uk-UA" w:eastAsia="uk-UA"/>
              </w:rPr>
              <w:t>Тайм-менеджмент</w:t>
            </w:r>
          </w:p>
          <w:p w:rsidR="00E46748" w:rsidRPr="008C1384" w:rsidRDefault="00E46748" w:rsidP="009C5854">
            <w:pPr>
              <w:autoSpaceDE w:val="0"/>
              <w:autoSpaceDN w:val="0"/>
              <w:adjustRightInd w:val="0"/>
              <w:jc w:val="both"/>
              <w:rPr>
                <w:rFonts w:eastAsia="Calibri"/>
                <w:lang w:val="uk-UA" w:eastAsia="uk-UA"/>
              </w:rPr>
            </w:pPr>
            <w:proofErr w:type="spellStart"/>
            <w:r>
              <w:rPr>
                <w:rFonts w:eastAsia="Calibri"/>
                <w:lang w:val="uk-UA" w:eastAsia="uk-UA"/>
              </w:rPr>
              <w:t>Стресостійкість</w:t>
            </w:r>
            <w:proofErr w:type="spellEnd"/>
          </w:p>
        </w:tc>
      </w:tr>
      <w:tr w:rsidR="00CC69DC" w:rsidRPr="008C1384" w:rsidTr="008C1384">
        <w:tc>
          <w:tcPr>
            <w:tcW w:w="498" w:type="dxa"/>
            <w:shd w:val="clear" w:color="auto" w:fill="auto"/>
          </w:tcPr>
          <w:p w:rsidR="00CC69DC" w:rsidRPr="008C1384" w:rsidRDefault="00CC69DC" w:rsidP="00CC69DC">
            <w:pPr>
              <w:rPr>
                <w:lang w:val="uk-UA"/>
              </w:rPr>
            </w:pPr>
            <w:r w:rsidRPr="008C1384">
              <w:rPr>
                <w:lang w:val="uk-UA"/>
              </w:rPr>
              <w:t>2.4</w:t>
            </w:r>
          </w:p>
        </w:tc>
        <w:tc>
          <w:tcPr>
            <w:tcW w:w="3073" w:type="dxa"/>
            <w:gridSpan w:val="2"/>
            <w:shd w:val="clear" w:color="auto" w:fill="auto"/>
          </w:tcPr>
          <w:p w:rsidR="00CC69DC" w:rsidRPr="008C1384" w:rsidRDefault="00CC69DC" w:rsidP="00CC69DC">
            <w:pPr>
              <w:rPr>
                <w:lang w:val="uk-UA"/>
              </w:rPr>
            </w:pPr>
            <w:r w:rsidRPr="008C1384">
              <w:rPr>
                <w:lang w:val="uk-UA"/>
              </w:rPr>
              <w:t>Професійні знання:</w:t>
            </w:r>
          </w:p>
        </w:tc>
        <w:tc>
          <w:tcPr>
            <w:tcW w:w="3990" w:type="dxa"/>
            <w:gridSpan w:val="2"/>
            <w:shd w:val="clear" w:color="auto" w:fill="auto"/>
          </w:tcPr>
          <w:p w:rsidR="00CC69DC" w:rsidRPr="008C1384" w:rsidRDefault="00CC69DC" w:rsidP="00CC69DC">
            <w:pPr>
              <w:jc w:val="both"/>
              <w:rPr>
                <w:lang w:val="uk-UA"/>
              </w:rPr>
            </w:pPr>
          </w:p>
        </w:tc>
      </w:tr>
      <w:tr w:rsidR="00CC69DC" w:rsidRPr="008C1384" w:rsidTr="008C1384">
        <w:tc>
          <w:tcPr>
            <w:tcW w:w="498" w:type="dxa"/>
            <w:shd w:val="clear" w:color="auto" w:fill="auto"/>
          </w:tcPr>
          <w:p w:rsidR="00CC69DC" w:rsidRPr="008C1384" w:rsidRDefault="00CC69DC" w:rsidP="00CC69DC">
            <w:pPr>
              <w:rPr>
                <w:lang w:val="uk-UA"/>
              </w:rPr>
            </w:pPr>
          </w:p>
        </w:tc>
        <w:tc>
          <w:tcPr>
            <w:tcW w:w="3073" w:type="dxa"/>
            <w:gridSpan w:val="2"/>
            <w:shd w:val="clear" w:color="auto" w:fill="auto"/>
          </w:tcPr>
          <w:p w:rsidR="00CC69DC" w:rsidRPr="008C1384" w:rsidRDefault="00CC69DC" w:rsidP="00CC69DC">
            <w:pPr>
              <w:rPr>
                <w:lang w:val="uk-UA"/>
              </w:rPr>
            </w:pPr>
            <w:r w:rsidRPr="008C1384">
              <w:rPr>
                <w:lang w:val="uk-UA"/>
              </w:rPr>
              <w:t xml:space="preserve">1. Знання законодавства </w:t>
            </w:r>
          </w:p>
          <w:p w:rsidR="00CC69DC" w:rsidRPr="008C1384" w:rsidRDefault="00CC69DC" w:rsidP="00CC69DC">
            <w:pPr>
              <w:rPr>
                <w:lang w:val="uk-UA"/>
              </w:rPr>
            </w:pPr>
          </w:p>
        </w:tc>
        <w:tc>
          <w:tcPr>
            <w:tcW w:w="3990" w:type="dxa"/>
            <w:gridSpan w:val="2"/>
            <w:tcBorders>
              <w:top w:val="single" w:sz="4" w:space="0" w:color="auto"/>
              <w:left w:val="single" w:sz="4" w:space="0" w:color="auto"/>
              <w:bottom w:val="single" w:sz="4" w:space="0" w:color="auto"/>
              <w:right w:val="single" w:sz="4" w:space="0" w:color="auto"/>
            </w:tcBorders>
          </w:tcPr>
          <w:p w:rsidR="00CC69DC" w:rsidRPr="008C1384" w:rsidRDefault="00CC69DC" w:rsidP="00CC69DC">
            <w:pPr>
              <w:jc w:val="both"/>
              <w:rPr>
                <w:b/>
                <w:lang w:val="uk-UA"/>
              </w:rPr>
            </w:pPr>
            <w:r w:rsidRPr="008C1384">
              <w:rPr>
                <w:b/>
                <w:lang w:val="uk-UA"/>
              </w:rPr>
              <w:t>Знання:</w:t>
            </w:r>
          </w:p>
          <w:p w:rsidR="00CC69DC" w:rsidRPr="008C1384" w:rsidRDefault="00CC69DC" w:rsidP="00CC69DC">
            <w:pPr>
              <w:jc w:val="both"/>
              <w:rPr>
                <w:lang w:val="uk-UA"/>
              </w:rPr>
            </w:pPr>
            <w:r w:rsidRPr="008C1384">
              <w:rPr>
                <w:lang w:val="uk-UA"/>
              </w:rPr>
              <w:t>Конституції України;</w:t>
            </w:r>
          </w:p>
          <w:p w:rsidR="00CC69DC" w:rsidRPr="008C1384" w:rsidRDefault="00CC69DC" w:rsidP="00CC69DC">
            <w:pPr>
              <w:jc w:val="both"/>
              <w:rPr>
                <w:lang w:val="uk-UA"/>
              </w:rPr>
            </w:pPr>
            <w:r w:rsidRPr="008C1384">
              <w:rPr>
                <w:lang w:val="uk-UA"/>
              </w:rPr>
              <w:t>Митного кодексу України;</w:t>
            </w:r>
          </w:p>
          <w:p w:rsidR="00CC69DC" w:rsidRPr="008C1384" w:rsidRDefault="00CC69DC" w:rsidP="00CC69DC">
            <w:pPr>
              <w:jc w:val="both"/>
              <w:rPr>
                <w:lang w:val="uk-UA"/>
              </w:rPr>
            </w:pPr>
            <w:r w:rsidRPr="008C1384">
              <w:rPr>
                <w:lang w:val="uk-UA"/>
              </w:rPr>
              <w:t>Закону України «Про державну службу»;</w:t>
            </w:r>
          </w:p>
          <w:p w:rsidR="00CC69DC" w:rsidRPr="008C1384" w:rsidRDefault="00CC69DC" w:rsidP="00CC69DC">
            <w:pPr>
              <w:jc w:val="both"/>
              <w:rPr>
                <w:lang w:val="uk-UA"/>
              </w:rPr>
            </w:pPr>
            <w:r w:rsidRPr="008C1384">
              <w:rPr>
                <w:lang w:val="uk-UA"/>
              </w:rPr>
              <w:t>Закону України «Про запобігання корупції».</w:t>
            </w:r>
          </w:p>
        </w:tc>
      </w:tr>
      <w:tr w:rsidR="00CC69DC" w:rsidRPr="008C1384" w:rsidTr="008C1384">
        <w:tc>
          <w:tcPr>
            <w:tcW w:w="498" w:type="dxa"/>
            <w:shd w:val="clear" w:color="auto" w:fill="auto"/>
          </w:tcPr>
          <w:p w:rsidR="00CC69DC" w:rsidRPr="008C1384" w:rsidRDefault="00CC69DC" w:rsidP="00CC69DC">
            <w:pPr>
              <w:rPr>
                <w:lang w:val="uk-UA"/>
              </w:rPr>
            </w:pPr>
          </w:p>
        </w:tc>
        <w:tc>
          <w:tcPr>
            <w:tcW w:w="3073" w:type="dxa"/>
            <w:gridSpan w:val="2"/>
            <w:shd w:val="clear" w:color="auto" w:fill="auto"/>
          </w:tcPr>
          <w:p w:rsidR="00CC69DC" w:rsidRPr="008C1384" w:rsidRDefault="00CC69DC" w:rsidP="00CC69DC">
            <w:pPr>
              <w:rPr>
                <w:lang w:val="uk-UA"/>
              </w:rPr>
            </w:pPr>
          </w:p>
          <w:p w:rsidR="00CC69DC" w:rsidRPr="008C1384" w:rsidRDefault="00CC69DC" w:rsidP="00CC69DC">
            <w:pPr>
              <w:rPr>
                <w:lang w:val="uk-UA"/>
              </w:rPr>
            </w:pPr>
            <w:r w:rsidRPr="008C1384">
              <w:rPr>
                <w:lang w:val="uk-UA"/>
              </w:rPr>
              <w:t>2. Знання законодавства у сфері</w:t>
            </w:r>
          </w:p>
        </w:tc>
        <w:tc>
          <w:tcPr>
            <w:tcW w:w="3990" w:type="dxa"/>
            <w:gridSpan w:val="2"/>
            <w:shd w:val="clear" w:color="auto" w:fill="auto"/>
          </w:tcPr>
          <w:p w:rsidR="00CC69DC" w:rsidRPr="008C1384" w:rsidRDefault="00CC69DC" w:rsidP="00CC69DC">
            <w:pPr>
              <w:jc w:val="both"/>
              <w:rPr>
                <w:b/>
                <w:lang w:val="uk-UA"/>
              </w:rPr>
            </w:pPr>
          </w:p>
          <w:p w:rsidR="00CC69DC" w:rsidRPr="008C1384" w:rsidRDefault="00CC69DC" w:rsidP="00CC69DC">
            <w:pPr>
              <w:jc w:val="both"/>
              <w:rPr>
                <w:b/>
                <w:lang w:val="uk-UA"/>
              </w:rPr>
            </w:pPr>
            <w:r w:rsidRPr="008C1384">
              <w:rPr>
                <w:b/>
                <w:lang w:val="uk-UA"/>
              </w:rPr>
              <w:t>Знання:</w:t>
            </w:r>
          </w:p>
          <w:p w:rsidR="0009257F" w:rsidRPr="008C1384" w:rsidRDefault="0009257F" w:rsidP="001655FB">
            <w:pPr>
              <w:pStyle w:val="af3"/>
              <w:spacing w:before="0" w:after="0"/>
              <w:jc w:val="both"/>
              <w:rPr>
                <w:rFonts w:ascii="Times New Roman" w:hAnsi="Times New Roman"/>
                <w:b w:val="0"/>
                <w:sz w:val="24"/>
                <w:szCs w:val="24"/>
              </w:rPr>
            </w:pPr>
            <w:r w:rsidRPr="008C1384">
              <w:rPr>
                <w:rFonts w:ascii="Times New Roman" w:hAnsi="Times New Roman"/>
                <w:b w:val="0"/>
                <w:sz w:val="24"/>
                <w:szCs w:val="24"/>
              </w:rPr>
              <w:t>постанов</w:t>
            </w:r>
            <w:r w:rsidR="00D71012">
              <w:rPr>
                <w:rFonts w:ascii="Times New Roman" w:hAnsi="Times New Roman"/>
                <w:b w:val="0"/>
                <w:sz w:val="24"/>
                <w:szCs w:val="24"/>
              </w:rPr>
              <w:t>а</w:t>
            </w:r>
            <w:r w:rsidRPr="008C1384">
              <w:rPr>
                <w:rFonts w:ascii="Times New Roman" w:hAnsi="Times New Roman"/>
                <w:b w:val="0"/>
                <w:sz w:val="24"/>
                <w:szCs w:val="24"/>
              </w:rPr>
              <w:t xml:space="preserve"> Кабінету Міністрів України від 27 вересня 2022 р. № 1092 «</w:t>
            </w:r>
            <w:r w:rsidR="001655FB" w:rsidRPr="008C1384">
              <w:rPr>
                <w:rFonts w:ascii="Times New Roman" w:hAnsi="Times New Roman"/>
                <w:b w:val="0"/>
                <w:sz w:val="24"/>
                <w:szCs w:val="24"/>
              </w:rPr>
              <w:t xml:space="preserve">Деякі питання реалізації положень Митного кодексу України щодо надання </w:t>
            </w:r>
            <w:proofErr w:type="spellStart"/>
            <w:r w:rsidR="001655FB" w:rsidRPr="008C1384">
              <w:rPr>
                <w:rFonts w:ascii="Times New Roman" w:hAnsi="Times New Roman"/>
                <w:b w:val="0"/>
                <w:sz w:val="24"/>
                <w:szCs w:val="24"/>
              </w:rPr>
              <w:t>авторизацій</w:t>
            </w:r>
            <w:proofErr w:type="spellEnd"/>
            <w:r w:rsidRPr="008C1384">
              <w:rPr>
                <w:rFonts w:ascii="Times New Roman" w:hAnsi="Times New Roman"/>
                <w:b w:val="0"/>
                <w:sz w:val="24"/>
                <w:szCs w:val="24"/>
              </w:rPr>
              <w:t>»</w:t>
            </w:r>
            <w:r w:rsidR="001655FB" w:rsidRPr="008C1384">
              <w:rPr>
                <w:rFonts w:ascii="Times New Roman" w:hAnsi="Times New Roman"/>
                <w:b w:val="0"/>
                <w:sz w:val="24"/>
                <w:szCs w:val="24"/>
              </w:rPr>
              <w:t>;</w:t>
            </w:r>
          </w:p>
          <w:p w:rsidR="00CC69DC" w:rsidRPr="008C1384" w:rsidRDefault="001A06FC" w:rsidP="00D71012">
            <w:pPr>
              <w:jc w:val="both"/>
              <w:rPr>
                <w:lang w:val="uk-UA"/>
              </w:rPr>
            </w:pPr>
            <w:r w:rsidRPr="008C1384">
              <w:rPr>
                <w:lang w:val="uk-UA"/>
              </w:rPr>
              <w:t>наказ Міністерства фінансів України від 30 травня 2012 р. № 651 «Про затвердження Порядку заповнення митних декларацій за формою єдиного адміністративного документа», зареєстровано в Міністерстві юстиції України від 14 серпня 2012 р. за № 1372/21684;</w:t>
            </w:r>
          </w:p>
        </w:tc>
      </w:tr>
    </w:tbl>
    <w:p w:rsidR="004A38CE" w:rsidRPr="008C1384" w:rsidRDefault="004A38CE" w:rsidP="006106A5">
      <w:pPr>
        <w:jc w:val="both"/>
      </w:pPr>
    </w:p>
    <w:sectPr w:rsidR="004A38CE" w:rsidRPr="008C1384" w:rsidSect="00E151B7">
      <w:headerReference w:type="default" r:id="rId8"/>
      <w:footnotePr>
        <w:numFmt w:val="chicago"/>
      </w:foot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1B" w:rsidRDefault="00334D1B" w:rsidP="005C3C0A">
      <w:r>
        <w:separator/>
      </w:r>
    </w:p>
  </w:endnote>
  <w:endnote w:type="continuationSeparator" w:id="0">
    <w:p w:rsidR="00334D1B" w:rsidRDefault="00334D1B"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1B" w:rsidRDefault="00334D1B" w:rsidP="005C3C0A">
      <w:r>
        <w:separator/>
      </w:r>
    </w:p>
  </w:footnote>
  <w:footnote w:type="continuationSeparator" w:id="0">
    <w:p w:rsidR="00334D1B" w:rsidRDefault="00334D1B"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37" w:rsidRDefault="00A93137">
    <w:pPr>
      <w:pStyle w:val="a7"/>
      <w:jc w:val="center"/>
    </w:pPr>
    <w:r>
      <w:fldChar w:fldCharType="begin"/>
    </w:r>
    <w:r>
      <w:instrText>PAGE   \* MERGEFORMAT</w:instrText>
    </w:r>
    <w:r>
      <w:fldChar w:fldCharType="separate"/>
    </w:r>
    <w:r w:rsidR="009B0E5E">
      <w:rPr>
        <w:noProof/>
      </w:rPr>
      <w:t>4</w:t>
    </w:r>
    <w:r>
      <w:fldChar w:fldCharType="end"/>
    </w:r>
  </w:p>
  <w:p w:rsidR="00A93137" w:rsidRDefault="00A93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655DC0"/>
    <w:multiLevelType w:val="hybridMultilevel"/>
    <w:tmpl w:val="927AF2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49A3CC9"/>
    <w:multiLevelType w:val="hybridMultilevel"/>
    <w:tmpl w:val="FB5CBB06"/>
    <w:lvl w:ilvl="0" w:tplc="560EE2D0">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2"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1"/>
  </w:num>
  <w:num w:numId="6">
    <w:abstractNumId w:val="12"/>
  </w:num>
  <w:num w:numId="7">
    <w:abstractNumId w:val="5"/>
  </w:num>
  <w:num w:numId="8">
    <w:abstractNumId w:val="0"/>
  </w:num>
  <w:num w:numId="9">
    <w:abstractNumId w:val="7"/>
  </w:num>
  <w:num w:numId="10">
    <w:abstractNumId w:val="1"/>
  </w:num>
  <w:num w:numId="11">
    <w:abstractNumId w:val="9"/>
  </w:num>
  <w:num w:numId="12">
    <w:abstractNumId w:val="6"/>
  </w:num>
  <w:num w:numId="13">
    <w:abstractNumId w:val="10"/>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C2"/>
    <w:rsid w:val="000116AA"/>
    <w:rsid w:val="000119F1"/>
    <w:rsid w:val="00014507"/>
    <w:rsid w:val="0001455F"/>
    <w:rsid w:val="00034506"/>
    <w:rsid w:val="00042472"/>
    <w:rsid w:val="000662EF"/>
    <w:rsid w:val="000716DE"/>
    <w:rsid w:val="00075724"/>
    <w:rsid w:val="00083999"/>
    <w:rsid w:val="000863BD"/>
    <w:rsid w:val="0009257F"/>
    <w:rsid w:val="000A1998"/>
    <w:rsid w:val="000A77E9"/>
    <w:rsid w:val="000B4E9A"/>
    <w:rsid w:val="000C37E5"/>
    <w:rsid w:val="000D27E4"/>
    <w:rsid w:val="000D5ACB"/>
    <w:rsid w:val="000D6D2A"/>
    <w:rsid w:val="000E093F"/>
    <w:rsid w:val="000E7E3C"/>
    <w:rsid w:val="000F1238"/>
    <w:rsid w:val="000F70FB"/>
    <w:rsid w:val="000F712C"/>
    <w:rsid w:val="000F7209"/>
    <w:rsid w:val="00140866"/>
    <w:rsid w:val="00143645"/>
    <w:rsid w:val="00163B39"/>
    <w:rsid w:val="001655FB"/>
    <w:rsid w:val="00177290"/>
    <w:rsid w:val="0018614D"/>
    <w:rsid w:val="00186C07"/>
    <w:rsid w:val="00196F3A"/>
    <w:rsid w:val="0019794A"/>
    <w:rsid w:val="001A06FC"/>
    <w:rsid w:val="001C3AF0"/>
    <w:rsid w:val="001C418D"/>
    <w:rsid w:val="001D1BEB"/>
    <w:rsid w:val="001D2C59"/>
    <w:rsid w:val="001D5109"/>
    <w:rsid w:val="001F46E7"/>
    <w:rsid w:val="00205DDB"/>
    <w:rsid w:val="002126C7"/>
    <w:rsid w:val="00212D6B"/>
    <w:rsid w:val="002149B0"/>
    <w:rsid w:val="00223C0E"/>
    <w:rsid w:val="00234692"/>
    <w:rsid w:val="0023672E"/>
    <w:rsid w:val="002374CE"/>
    <w:rsid w:val="0024637B"/>
    <w:rsid w:val="002558CE"/>
    <w:rsid w:val="00264BFA"/>
    <w:rsid w:val="00274E19"/>
    <w:rsid w:val="002813AE"/>
    <w:rsid w:val="00284E63"/>
    <w:rsid w:val="002858F7"/>
    <w:rsid w:val="002A34FD"/>
    <w:rsid w:val="002A46A7"/>
    <w:rsid w:val="002C142E"/>
    <w:rsid w:val="002C5025"/>
    <w:rsid w:val="002C5898"/>
    <w:rsid w:val="002D4E1B"/>
    <w:rsid w:val="002E7CA9"/>
    <w:rsid w:val="002F38CA"/>
    <w:rsid w:val="003005FA"/>
    <w:rsid w:val="00302077"/>
    <w:rsid w:val="0031159E"/>
    <w:rsid w:val="00314570"/>
    <w:rsid w:val="00316440"/>
    <w:rsid w:val="003206C8"/>
    <w:rsid w:val="003331D8"/>
    <w:rsid w:val="00334D1B"/>
    <w:rsid w:val="003373F1"/>
    <w:rsid w:val="003508CE"/>
    <w:rsid w:val="003633C4"/>
    <w:rsid w:val="00367264"/>
    <w:rsid w:val="00372890"/>
    <w:rsid w:val="00380D2F"/>
    <w:rsid w:val="00383BEA"/>
    <w:rsid w:val="00384B31"/>
    <w:rsid w:val="00394211"/>
    <w:rsid w:val="00394F90"/>
    <w:rsid w:val="003A4CE4"/>
    <w:rsid w:val="003A676E"/>
    <w:rsid w:val="003B145B"/>
    <w:rsid w:val="003C7A49"/>
    <w:rsid w:val="003E6ED5"/>
    <w:rsid w:val="003E7E91"/>
    <w:rsid w:val="003F4F85"/>
    <w:rsid w:val="00411F36"/>
    <w:rsid w:val="00436F35"/>
    <w:rsid w:val="00441A38"/>
    <w:rsid w:val="00446999"/>
    <w:rsid w:val="00461FFE"/>
    <w:rsid w:val="004626E8"/>
    <w:rsid w:val="00473613"/>
    <w:rsid w:val="004758B6"/>
    <w:rsid w:val="0048154E"/>
    <w:rsid w:val="00486C22"/>
    <w:rsid w:val="00495C11"/>
    <w:rsid w:val="004A38CE"/>
    <w:rsid w:val="004A6CE5"/>
    <w:rsid w:val="004C55E3"/>
    <w:rsid w:val="004D7504"/>
    <w:rsid w:val="004D7B89"/>
    <w:rsid w:val="004E684E"/>
    <w:rsid w:val="004F4DD5"/>
    <w:rsid w:val="00500FDE"/>
    <w:rsid w:val="00506520"/>
    <w:rsid w:val="005112AC"/>
    <w:rsid w:val="00511FFB"/>
    <w:rsid w:val="005207DC"/>
    <w:rsid w:val="0053131F"/>
    <w:rsid w:val="0054149A"/>
    <w:rsid w:val="005415CA"/>
    <w:rsid w:val="00550DB0"/>
    <w:rsid w:val="005528DF"/>
    <w:rsid w:val="005549A7"/>
    <w:rsid w:val="005638FF"/>
    <w:rsid w:val="005653EE"/>
    <w:rsid w:val="00570E81"/>
    <w:rsid w:val="00591B10"/>
    <w:rsid w:val="00597B8F"/>
    <w:rsid w:val="005A4C8D"/>
    <w:rsid w:val="005B55D1"/>
    <w:rsid w:val="005B58EB"/>
    <w:rsid w:val="005B752F"/>
    <w:rsid w:val="005C058F"/>
    <w:rsid w:val="005C3229"/>
    <w:rsid w:val="005C3C0A"/>
    <w:rsid w:val="005E47EC"/>
    <w:rsid w:val="005F4512"/>
    <w:rsid w:val="00606281"/>
    <w:rsid w:val="00610182"/>
    <w:rsid w:val="006106A5"/>
    <w:rsid w:val="006148A3"/>
    <w:rsid w:val="00620A67"/>
    <w:rsid w:val="00632784"/>
    <w:rsid w:val="0064718D"/>
    <w:rsid w:val="0065497C"/>
    <w:rsid w:val="0065673F"/>
    <w:rsid w:val="00665C53"/>
    <w:rsid w:val="0066606D"/>
    <w:rsid w:val="00666F0A"/>
    <w:rsid w:val="0068334B"/>
    <w:rsid w:val="006835DC"/>
    <w:rsid w:val="006915CC"/>
    <w:rsid w:val="00695343"/>
    <w:rsid w:val="006A2E7E"/>
    <w:rsid w:val="006A5F04"/>
    <w:rsid w:val="006B25BC"/>
    <w:rsid w:val="006B7D21"/>
    <w:rsid w:val="006C19F6"/>
    <w:rsid w:val="006C2AA8"/>
    <w:rsid w:val="006D2E91"/>
    <w:rsid w:val="006D4A8E"/>
    <w:rsid w:val="00705505"/>
    <w:rsid w:val="007064B3"/>
    <w:rsid w:val="00713F0F"/>
    <w:rsid w:val="00714CD9"/>
    <w:rsid w:val="00716087"/>
    <w:rsid w:val="007221EF"/>
    <w:rsid w:val="00723AE5"/>
    <w:rsid w:val="00731F7B"/>
    <w:rsid w:val="0075264D"/>
    <w:rsid w:val="0075669E"/>
    <w:rsid w:val="007600C9"/>
    <w:rsid w:val="00765BDA"/>
    <w:rsid w:val="007714D1"/>
    <w:rsid w:val="00772A75"/>
    <w:rsid w:val="00774078"/>
    <w:rsid w:val="00782D3B"/>
    <w:rsid w:val="0078417B"/>
    <w:rsid w:val="00785807"/>
    <w:rsid w:val="0078708B"/>
    <w:rsid w:val="00790D0F"/>
    <w:rsid w:val="007A2B98"/>
    <w:rsid w:val="007A2FC7"/>
    <w:rsid w:val="007C26CB"/>
    <w:rsid w:val="007C4458"/>
    <w:rsid w:val="007D0BCA"/>
    <w:rsid w:val="007D60F8"/>
    <w:rsid w:val="007E1956"/>
    <w:rsid w:val="007E2A8B"/>
    <w:rsid w:val="007E2ACC"/>
    <w:rsid w:val="007F2A40"/>
    <w:rsid w:val="00810DF2"/>
    <w:rsid w:val="008248E4"/>
    <w:rsid w:val="00827AEA"/>
    <w:rsid w:val="00834666"/>
    <w:rsid w:val="0084089A"/>
    <w:rsid w:val="008543B0"/>
    <w:rsid w:val="00870C81"/>
    <w:rsid w:val="0087291A"/>
    <w:rsid w:val="00875033"/>
    <w:rsid w:val="00880FFB"/>
    <w:rsid w:val="008845BB"/>
    <w:rsid w:val="00885CBF"/>
    <w:rsid w:val="00887D34"/>
    <w:rsid w:val="00890D8B"/>
    <w:rsid w:val="00897BC6"/>
    <w:rsid w:val="008A5F62"/>
    <w:rsid w:val="008B4F87"/>
    <w:rsid w:val="008B521C"/>
    <w:rsid w:val="008B5C57"/>
    <w:rsid w:val="008C085B"/>
    <w:rsid w:val="008C1384"/>
    <w:rsid w:val="008E1871"/>
    <w:rsid w:val="008E50C3"/>
    <w:rsid w:val="008E7D48"/>
    <w:rsid w:val="008F0997"/>
    <w:rsid w:val="00904D00"/>
    <w:rsid w:val="0091085C"/>
    <w:rsid w:val="0091192E"/>
    <w:rsid w:val="00916856"/>
    <w:rsid w:val="00927E43"/>
    <w:rsid w:val="009376F2"/>
    <w:rsid w:val="00940B33"/>
    <w:rsid w:val="00940F54"/>
    <w:rsid w:val="009447DD"/>
    <w:rsid w:val="00944F02"/>
    <w:rsid w:val="00956832"/>
    <w:rsid w:val="00974520"/>
    <w:rsid w:val="00984D58"/>
    <w:rsid w:val="00985519"/>
    <w:rsid w:val="00995F46"/>
    <w:rsid w:val="00996566"/>
    <w:rsid w:val="009B0E5E"/>
    <w:rsid w:val="009B1854"/>
    <w:rsid w:val="009B7177"/>
    <w:rsid w:val="009C5854"/>
    <w:rsid w:val="009E376A"/>
    <w:rsid w:val="009E7FB0"/>
    <w:rsid w:val="00A01803"/>
    <w:rsid w:val="00A1095D"/>
    <w:rsid w:val="00A1691D"/>
    <w:rsid w:val="00A321E6"/>
    <w:rsid w:val="00A329DB"/>
    <w:rsid w:val="00A52AD6"/>
    <w:rsid w:val="00A61DBD"/>
    <w:rsid w:val="00A62E65"/>
    <w:rsid w:val="00A67438"/>
    <w:rsid w:val="00A67C3C"/>
    <w:rsid w:val="00A76545"/>
    <w:rsid w:val="00A804E7"/>
    <w:rsid w:val="00A8567D"/>
    <w:rsid w:val="00A923E2"/>
    <w:rsid w:val="00A93137"/>
    <w:rsid w:val="00AA2C2D"/>
    <w:rsid w:val="00AA7EBE"/>
    <w:rsid w:val="00AB46DF"/>
    <w:rsid w:val="00AB64DC"/>
    <w:rsid w:val="00AC6320"/>
    <w:rsid w:val="00AD3DC9"/>
    <w:rsid w:val="00AE2BFC"/>
    <w:rsid w:val="00AE6040"/>
    <w:rsid w:val="00AF34B2"/>
    <w:rsid w:val="00AF35BD"/>
    <w:rsid w:val="00B00104"/>
    <w:rsid w:val="00B00DFF"/>
    <w:rsid w:val="00B011AE"/>
    <w:rsid w:val="00B074DB"/>
    <w:rsid w:val="00B132B3"/>
    <w:rsid w:val="00B14586"/>
    <w:rsid w:val="00B2081F"/>
    <w:rsid w:val="00B30A9F"/>
    <w:rsid w:val="00B32835"/>
    <w:rsid w:val="00B41DDF"/>
    <w:rsid w:val="00B545B6"/>
    <w:rsid w:val="00B55284"/>
    <w:rsid w:val="00B64355"/>
    <w:rsid w:val="00B64C67"/>
    <w:rsid w:val="00B70FA3"/>
    <w:rsid w:val="00B76A0F"/>
    <w:rsid w:val="00B836A4"/>
    <w:rsid w:val="00B9171F"/>
    <w:rsid w:val="00B95B7F"/>
    <w:rsid w:val="00BA346E"/>
    <w:rsid w:val="00BA5B28"/>
    <w:rsid w:val="00BB3158"/>
    <w:rsid w:val="00BB37D6"/>
    <w:rsid w:val="00BD5390"/>
    <w:rsid w:val="00BE519D"/>
    <w:rsid w:val="00BE735B"/>
    <w:rsid w:val="00BF4073"/>
    <w:rsid w:val="00C01F43"/>
    <w:rsid w:val="00C1435E"/>
    <w:rsid w:val="00C21542"/>
    <w:rsid w:val="00C25EA2"/>
    <w:rsid w:val="00C30352"/>
    <w:rsid w:val="00C36157"/>
    <w:rsid w:val="00C44BC5"/>
    <w:rsid w:val="00C51575"/>
    <w:rsid w:val="00C53A7A"/>
    <w:rsid w:val="00C5500A"/>
    <w:rsid w:val="00C633AB"/>
    <w:rsid w:val="00C765DB"/>
    <w:rsid w:val="00C81B66"/>
    <w:rsid w:val="00C821A6"/>
    <w:rsid w:val="00C973CC"/>
    <w:rsid w:val="00CA6ECF"/>
    <w:rsid w:val="00CA7C2C"/>
    <w:rsid w:val="00CB477F"/>
    <w:rsid w:val="00CC69DC"/>
    <w:rsid w:val="00CD317C"/>
    <w:rsid w:val="00CD702C"/>
    <w:rsid w:val="00CF1F40"/>
    <w:rsid w:val="00CF596A"/>
    <w:rsid w:val="00D005DA"/>
    <w:rsid w:val="00D11BEA"/>
    <w:rsid w:val="00D152B7"/>
    <w:rsid w:val="00D275BE"/>
    <w:rsid w:val="00D32115"/>
    <w:rsid w:val="00D36608"/>
    <w:rsid w:val="00D412B4"/>
    <w:rsid w:val="00D45704"/>
    <w:rsid w:val="00D4597A"/>
    <w:rsid w:val="00D467A5"/>
    <w:rsid w:val="00D5291D"/>
    <w:rsid w:val="00D55950"/>
    <w:rsid w:val="00D63AA7"/>
    <w:rsid w:val="00D64CF3"/>
    <w:rsid w:val="00D71012"/>
    <w:rsid w:val="00D85BFA"/>
    <w:rsid w:val="00DA23B6"/>
    <w:rsid w:val="00DA4D38"/>
    <w:rsid w:val="00DA5B10"/>
    <w:rsid w:val="00DA725F"/>
    <w:rsid w:val="00DB3EDB"/>
    <w:rsid w:val="00DC6BEA"/>
    <w:rsid w:val="00DF0977"/>
    <w:rsid w:val="00DF54D8"/>
    <w:rsid w:val="00E00485"/>
    <w:rsid w:val="00E03941"/>
    <w:rsid w:val="00E151B7"/>
    <w:rsid w:val="00E21AA7"/>
    <w:rsid w:val="00E23DC8"/>
    <w:rsid w:val="00E30875"/>
    <w:rsid w:val="00E40123"/>
    <w:rsid w:val="00E46748"/>
    <w:rsid w:val="00E5198D"/>
    <w:rsid w:val="00E532E8"/>
    <w:rsid w:val="00E55C8D"/>
    <w:rsid w:val="00E65DB8"/>
    <w:rsid w:val="00E667DA"/>
    <w:rsid w:val="00E75FF7"/>
    <w:rsid w:val="00E80270"/>
    <w:rsid w:val="00EA3C5B"/>
    <w:rsid w:val="00EB2726"/>
    <w:rsid w:val="00EB5C89"/>
    <w:rsid w:val="00EC01AD"/>
    <w:rsid w:val="00EC7107"/>
    <w:rsid w:val="00ED2608"/>
    <w:rsid w:val="00ED5FFA"/>
    <w:rsid w:val="00EE52E6"/>
    <w:rsid w:val="00EF46D9"/>
    <w:rsid w:val="00F04B68"/>
    <w:rsid w:val="00F05768"/>
    <w:rsid w:val="00F11D71"/>
    <w:rsid w:val="00F147EC"/>
    <w:rsid w:val="00F24DD1"/>
    <w:rsid w:val="00F33635"/>
    <w:rsid w:val="00F53078"/>
    <w:rsid w:val="00F57EAD"/>
    <w:rsid w:val="00F655A3"/>
    <w:rsid w:val="00F76B09"/>
    <w:rsid w:val="00F823E0"/>
    <w:rsid w:val="00F83B11"/>
    <w:rsid w:val="00F8575E"/>
    <w:rsid w:val="00F94FC4"/>
    <w:rsid w:val="00F9636F"/>
    <w:rsid w:val="00FA0179"/>
    <w:rsid w:val="00FA2CAB"/>
    <w:rsid w:val="00FA2F65"/>
    <w:rsid w:val="00FA6E3E"/>
    <w:rsid w:val="00FB4568"/>
    <w:rsid w:val="00FB745C"/>
    <w:rsid w:val="00FC6E60"/>
    <w:rsid w:val="00FD29F4"/>
    <w:rsid w:val="00FD52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2CDB0-1C7C-445C-BD7F-9ABCB455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 w:type="character" w:customStyle="1" w:styleId="af1">
    <w:name w:val="Звичайний (веб) Знак"/>
    <w:link w:val="af2"/>
    <w:uiPriority w:val="99"/>
    <w:semiHidden/>
    <w:qFormat/>
    <w:locked/>
    <w:rsid w:val="0084089A"/>
    <w:rPr>
      <w:rFonts w:ascii="Times New Roman" w:eastAsia="Times New Roman" w:hAnsi="Times New Roman"/>
      <w:sz w:val="24"/>
      <w:szCs w:val="24"/>
      <w:lang w:eastAsia="ru-RU"/>
    </w:rPr>
  </w:style>
  <w:style w:type="paragraph" w:styleId="af2">
    <w:name w:val="Normal (Web)"/>
    <w:basedOn w:val="a"/>
    <w:link w:val="af1"/>
    <w:uiPriority w:val="99"/>
    <w:semiHidden/>
    <w:unhideWhenUsed/>
    <w:qFormat/>
    <w:rsid w:val="0084089A"/>
    <w:pPr>
      <w:suppressAutoHyphens/>
      <w:spacing w:before="100" w:beforeAutospacing="1" w:after="100" w:afterAutospacing="1"/>
    </w:pPr>
    <w:rPr>
      <w:lang w:val="uk-UA"/>
    </w:rPr>
  </w:style>
  <w:style w:type="paragraph" w:customStyle="1" w:styleId="af3">
    <w:name w:val="Назва документа"/>
    <w:basedOn w:val="a"/>
    <w:next w:val="a"/>
    <w:rsid w:val="0009257F"/>
    <w:pPr>
      <w:keepNext/>
      <w:keepLines/>
      <w:spacing w:before="240" w:after="240"/>
      <w:jc w:val="center"/>
    </w:pPr>
    <w:rPr>
      <w:rFonts w:ascii="Antiqua" w:hAnsi="Antiqua"/>
      <w:b/>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30">
      <w:bodyDiv w:val="1"/>
      <w:marLeft w:val="0"/>
      <w:marRight w:val="0"/>
      <w:marTop w:val="0"/>
      <w:marBottom w:val="0"/>
      <w:divBdr>
        <w:top w:val="none" w:sz="0" w:space="0" w:color="auto"/>
        <w:left w:val="none" w:sz="0" w:space="0" w:color="auto"/>
        <w:bottom w:val="none" w:sz="0" w:space="0" w:color="auto"/>
        <w:right w:val="none" w:sz="0" w:space="0" w:color="auto"/>
      </w:divBdr>
    </w:div>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203031165">
      <w:bodyDiv w:val="1"/>
      <w:marLeft w:val="0"/>
      <w:marRight w:val="0"/>
      <w:marTop w:val="0"/>
      <w:marBottom w:val="0"/>
      <w:divBdr>
        <w:top w:val="none" w:sz="0" w:space="0" w:color="auto"/>
        <w:left w:val="none" w:sz="0" w:space="0" w:color="auto"/>
        <w:bottom w:val="none" w:sz="0" w:space="0" w:color="auto"/>
        <w:right w:val="none" w:sz="0" w:space="0" w:color="auto"/>
      </w:divBdr>
    </w:div>
    <w:div w:id="235365731">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69514589">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557016320">
      <w:bodyDiv w:val="1"/>
      <w:marLeft w:val="0"/>
      <w:marRight w:val="0"/>
      <w:marTop w:val="0"/>
      <w:marBottom w:val="0"/>
      <w:divBdr>
        <w:top w:val="none" w:sz="0" w:space="0" w:color="auto"/>
        <w:left w:val="none" w:sz="0" w:space="0" w:color="auto"/>
        <w:bottom w:val="none" w:sz="0" w:space="0" w:color="auto"/>
        <w:right w:val="none" w:sz="0" w:space="0" w:color="auto"/>
      </w:divBdr>
    </w:div>
    <w:div w:id="860506192">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62302384">
      <w:bodyDiv w:val="1"/>
      <w:marLeft w:val="0"/>
      <w:marRight w:val="0"/>
      <w:marTop w:val="0"/>
      <w:marBottom w:val="0"/>
      <w:divBdr>
        <w:top w:val="none" w:sz="0" w:space="0" w:color="auto"/>
        <w:left w:val="none" w:sz="0" w:space="0" w:color="auto"/>
        <w:bottom w:val="none" w:sz="0" w:space="0" w:color="auto"/>
        <w:right w:val="none" w:sz="0" w:space="0" w:color="auto"/>
      </w:divBdr>
    </w:div>
    <w:div w:id="1438985512">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72ED0-AC61-4F26-BBB3-C8716A7F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828</Words>
  <Characters>6180</Characters>
  <Application>Microsoft Office Word</Application>
  <DocSecurity>0</DocSecurity>
  <Lines>207</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7</cp:revision>
  <cp:lastPrinted>2025-04-29T11:45:00Z</cp:lastPrinted>
  <dcterms:created xsi:type="dcterms:W3CDTF">2025-04-28T12:24:00Z</dcterms:created>
  <dcterms:modified xsi:type="dcterms:W3CDTF">2025-05-19T13:33:00Z</dcterms:modified>
</cp:coreProperties>
</file>