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0F7" w:rsidRPr="001B4AE4" w:rsidRDefault="001330F7" w:rsidP="00FB1052">
      <w:pPr>
        <w:shd w:val="clear" w:color="auto" w:fill="FFFFFF"/>
        <w:ind w:firstLine="16443"/>
        <w:rPr>
          <w:rFonts w:ascii="Times New Roman" w:hAnsi="Times New Roman"/>
          <w:sz w:val="24"/>
          <w:szCs w:val="24"/>
        </w:rPr>
      </w:pPr>
      <w:bookmarkStart w:id="0" w:name="_Hlk119507077"/>
      <w:bookmarkStart w:id="1" w:name="_GoBack"/>
      <w:bookmarkEnd w:id="1"/>
      <w:r w:rsidRPr="001B4AE4">
        <w:rPr>
          <w:rFonts w:ascii="Times New Roman" w:hAnsi="Times New Roman"/>
          <w:sz w:val="24"/>
          <w:szCs w:val="24"/>
        </w:rPr>
        <w:t xml:space="preserve">Додаток </w:t>
      </w:r>
      <w:r>
        <w:rPr>
          <w:rFonts w:ascii="Times New Roman" w:hAnsi="Times New Roman"/>
          <w:sz w:val="24"/>
          <w:szCs w:val="24"/>
        </w:rPr>
        <w:t>2</w:t>
      </w:r>
      <w:r w:rsidRPr="001B4AE4">
        <w:rPr>
          <w:rFonts w:ascii="Times New Roman" w:hAnsi="Times New Roman"/>
          <w:sz w:val="24"/>
          <w:szCs w:val="24"/>
        </w:rPr>
        <w:t xml:space="preserve"> </w:t>
      </w:r>
    </w:p>
    <w:p w:rsidR="001330F7" w:rsidRDefault="001330F7" w:rsidP="00FB1052">
      <w:pPr>
        <w:shd w:val="clear" w:color="auto" w:fill="FFFFFF"/>
        <w:ind w:firstLine="16443"/>
        <w:rPr>
          <w:rFonts w:ascii="Times New Roman" w:hAnsi="Times New Roman"/>
          <w:sz w:val="24"/>
          <w:szCs w:val="24"/>
        </w:rPr>
      </w:pPr>
      <w:r w:rsidRPr="001B4AE4">
        <w:rPr>
          <w:rFonts w:ascii="Times New Roman" w:hAnsi="Times New Roman"/>
          <w:sz w:val="24"/>
          <w:szCs w:val="24"/>
        </w:rPr>
        <w:t xml:space="preserve">до Антикорупційної програми </w:t>
      </w:r>
    </w:p>
    <w:p w:rsidR="001330F7" w:rsidRDefault="001330F7" w:rsidP="00FB1052">
      <w:pPr>
        <w:shd w:val="clear" w:color="auto" w:fill="FFFFFF"/>
        <w:ind w:firstLine="16443"/>
        <w:rPr>
          <w:rFonts w:ascii="Times New Roman" w:hAnsi="Times New Roman"/>
          <w:sz w:val="24"/>
          <w:szCs w:val="24"/>
        </w:rPr>
      </w:pPr>
      <w:r>
        <w:rPr>
          <w:rFonts w:ascii="Times New Roman" w:hAnsi="Times New Roman"/>
          <w:sz w:val="24"/>
          <w:szCs w:val="24"/>
        </w:rPr>
        <w:t xml:space="preserve">Державної митної служби України </w:t>
      </w:r>
      <w:r w:rsidRPr="001B4AE4">
        <w:rPr>
          <w:rFonts w:ascii="Times New Roman" w:hAnsi="Times New Roman"/>
          <w:sz w:val="24"/>
          <w:szCs w:val="24"/>
        </w:rPr>
        <w:t>на 202</w:t>
      </w:r>
      <w:r>
        <w:rPr>
          <w:rFonts w:ascii="Times New Roman" w:hAnsi="Times New Roman"/>
          <w:sz w:val="24"/>
          <w:szCs w:val="24"/>
        </w:rPr>
        <w:t>3</w:t>
      </w:r>
      <w:r w:rsidRPr="001B4AE4">
        <w:rPr>
          <w:rFonts w:ascii="Times New Roman" w:hAnsi="Times New Roman"/>
          <w:sz w:val="24"/>
          <w:szCs w:val="24"/>
        </w:rPr>
        <w:t xml:space="preserve"> – 202</w:t>
      </w:r>
      <w:r>
        <w:rPr>
          <w:rFonts w:ascii="Times New Roman" w:hAnsi="Times New Roman"/>
          <w:sz w:val="24"/>
          <w:szCs w:val="24"/>
        </w:rPr>
        <w:t>5</w:t>
      </w:r>
      <w:r w:rsidRPr="001B4AE4">
        <w:rPr>
          <w:rFonts w:ascii="Times New Roman" w:hAnsi="Times New Roman"/>
          <w:sz w:val="24"/>
          <w:szCs w:val="24"/>
        </w:rPr>
        <w:t xml:space="preserve"> роки</w:t>
      </w:r>
    </w:p>
    <w:p w:rsidR="00FB1052" w:rsidRPr="00FB1052" w:rsidRDefault="00FB1052" w:rsidP="00FB1052">
      <w:pPr>
        <w:shd w:val="clear" w:color="auto" w:fill="FFFFFF"/>
        <w:ind w:firstLine="16443"/>
        <w:rPr>
          <w:rFonts w:ascii="Times New Roman" w:hAnsi="Times New Roman"/>
          <w:i/>
          <w:sz w:val="24"/>
          <w:szCs w:val="24"/>
        </w:rPr>
      </w:pPr>
      <w:r>
        <w:rPr>
          <w:rFonts w:ascii="Times New Roman" w:hAnsi="Times New Roman"/>
          <w:i/>
          <w:sz w:val="24"/>
          <w:szCs w:val="24"/>
          <w:lang w:val="en-US"/>
        </w:rPr>
        <w:t>(</w:t>
      </w:r>
      <w:proofErr w:type="gramStart"/>
      <w:r w:rsidRPr="00FB1052">
        <w:rPr>
          <w:rFonts w:ascii="Times New Roman" w:hAnsi="Times New Roman"/>
          <w:i/>
          <w:sz w:val="24"/>
          <w:szCs w:val="24"/>
        </w:rPr>
        <w:t>зі</w:t>
      </w:r>
      <w:proofErr w:type="gramEnd"/>
      <w:r w:rsidRPr="00FB1052">
        <w:rPr>
          <w:rFonts w:ascii="Times New Roman" w:hAnsi="Times New Roman"/>
          <w:i/>
          <w:sz w:val="24"/>
          <w:szCs w:val="24"/>
        </w:rPr>
        <w:t xml:space="preserve"> змінами внесеними наказом Держмитслужби</w:t>
      </w:r>
    </w:p>
    <w:p w:rsidR="00FB1052" w:rsidRPr="00FB1052" w:rsidRDefault="00FB1052" w:rsidP="00FB1052">
      <w:pPr>
        <w:shd w:val="clear" w:color="auto" w:fill="FFFFFF"/>
        <w:ind w:firstLine="16443"/>
        <w:rPr>
          <w:rFonts w:ascii="Times New Roman" w:hAnsi="Times New Roman"/>
          <w:i/>
          <w:sz w:val="24"/>
          <w:szCs w:val="24"/>
          <w:lang w:val="en-US"/>
        </w:rPr>
      </w:pPr>
      <w:r w:rsidRPr="00FB1052">
        <w:rPr>
          <w:rFonts w:ascii="Times New Roman" w:hAnsi="Times New Roman"/>
          <w:i/>
          <w:sz w:val="24"/>
          <w:szCs w:val="24"/>
        </w:rPr>
        <w:t>від                    №</w:t>
      </w:r>
      <w:r>
        <w:rPr>
          <w:rFonts w:ascii="Times New Roman" w:hAnsi="Times New Roman"/>
          <w:i/>
          <w:sz w:val="24"/>
          <w:szCs w:val="24"/>
          <w:lang w:val="en-US"/>
        </w:rPr>
        <w:t xml:space="preserve">         )</w:t>
      </w:r>
    </w:p>
    <w:p w:rsidR="00FB1052" w:rsidRDefault="00FB1052" w:rsidP="001330F7">
      <w:pPr>
        <w:shd w:val="clear" w:color="auto" w:fill="FFFFFF"/>
        <w:jc w:val="right"/>
        <w:rPr>
          <w:rFonts w:ascii="Times New Roman" w:hAnsi="Times New Roman"/>
          <w:sz w:val="24"/>
          <w:szCs w:val="24"/>
        </w:rPr>
      </w:pPr>
    </w:p>
    <w:p w:rsidR="006C1578" w:rsidRPr="00123A70" w:rsidRDefault="006C1578" w:rsidP="006C1578">
      <w:pPr>
        <w:jc w:val="center"/>
        <w:rPr>
          <w:rFonts w:ascii="Times New Roman" w:eastAsia="Calibri" w:hAnsi="Times New Roman"/>
          <w:sz w:val="28"/>
          <w:szCs w:val="28"/>
          <w:lang w:eastAsia="en-US"/>
        </w:rPr>
      </w:pPr>
      <w:r w:rsidRPr="00123A70">
        <w:rPr>
          <w:rFonts w:ascii="Times New Roman" w:eastAsia="Calibri" w:hAnsi="Times New Roman"/>
          <w:sz w:val="28"/>
          <w:szCs w:val="28"/>
          <w:lang w:eastAsia="en-US"/>
        </w:rPr>
        <w:t>ЗАХОДИ</w:t>
      </w:r>
    </w:p>
    <w:p w:rsidR="006C1578" w:rsidRPr="00123A70" w:rsidRDefault="006C1578" w:rsidP="006C1578">
      <w:pPr>
        <w:spacing w:after="120"/>
        <w:jc w:val="center"/>
        <w:rPr>
          <w:rFonts w:ascii="Times New Roman" w:eastAsia="Calibri" w:hAnsi="Times New Roman"/>
          <w:sz w:val="28"/>
          <w:szCs w:val="28"/>
          <w:lang w:eastAsia="en-US"/>
        </w:rPr>
      </w:pPr>
      <w:r w:rsidRPr="00123A70">
        <w:rPr>
          <w:rFonts w:ascii="Times New Roman" w:eastAsia="Calibri" w:hAnsi="Times New Roman"/>
          <w:sz w:val="28"/>
          <w:szCs w:val="28"/>
          <w:lang w:eastAsia="en-US"/>
        </w:rPr>
        <w:t xml:space="preserve">з виконання </w:t>
      </w:r>
      <w:r>
        <w:rPr>
          <w:rFonts w:ascii="Times New Roman" w:eastAsia="Calibri" w:hAnsi="Times New Roman"/>
          <w:sz w:val="28"/>
          <w:szCs w:val="28"/>
          <w:lang w:eastAsia="en-US"/>
        </w:rPr>
        <w:t xml:space="preserve">Державною митною службою України </w:t>
      </w:r>
      <w:r w:rsidRPr="00123A70">
        <w:rPr>
          <w:rFonts w:ascii="Times New Roman" w:eastAsia="Calibri" w:hAnsi="Times New Roman"/>
          <w:sz w:val="28"/>
          <w:szCs w:val="28"/>
          <w:lang w:eastAsia="en-US"/>
        </w:rPr>
        <w:t>Державної антикорупційної програми на 2023</w:t>
      </w:r>
      <w:r w:rsidRPr="00123A70">
        <w:rPr>
          <w:rFonts w:ascii="Times New Roman" w:hAnsi="Times New Roman"/>
          <w:sz w:val="28"/>
          <w:szCs w:val="28"/>
          <w:lang w:eastAsia="uk-UA" w:bidi="uk-UA"/>
        </w:rPr>
        <w:t>—</w:t>
      </w:r>
      <w:r w:rsidRPr="00123A70">
        <w:rPr>
          <w:rFonts w:ascii="Times New Roman" w:eastAsia="Calibri" w:hAnsi="Times New Roman"/>
          <w:sz w:val="28"/>
          <w:szCs w:val="28"/>
          <w:lang w:eastAsia="en-US"/>
        </w:rPr>
        <w:t>2025 роки</w:t>
      </w:r>
    </w:p>
    <w:tbl>
      <w:tblPr>
        <w:tblW w:w="4946" w:type="pct"/>
        <w:tblInd w:w="426" w:type="dxa"/>
        <w:tblLayout w:type="fixed"/>
        <w:tblLook w:val="04A0" w:firstRow="1" w:lastRow="0" w:firstColumn="1" w:lastColumn="0" w:noHBand="0" w:noVBand="1"/>
      </w:tblPr>
      <w:tblGrid>
        <w:gridCol w:w="2114"/>
        <w:gridCol w:w="2531"/>
        <w:gridCol w:w="1314"/>
        <w:gridCol w:w="286"/>
        <w:gridCol w:w="1745"/>
        <w:gridCol w:w="245"/>
        <w:gridCol w:w="2736"/>
        <w:gridCol w:w="333"/>
        <w:gridCol w:w="1650"/>
        <w:gridCol w:w="17"/>
        <w:gridCol w:w="1751"/>
        <w:gridCol w:w="36"/>
        <w:gridCol w:w="1875"/>
        <w:gridCol w:w="1607"/>
        <w:gridCol w:w="749"/>
        <w:gridCol w:w="2352"/>
        <w:gridCol w:w="733"/>
        <w:gridCol w:w="58"/>
      </w:tblGrid>
      <w:tr w:rsidR="006C1578" w:rsidRPr="00123A70" w:rsidTr="004B0178">
        <w:trPr>
          <w:gridAfter w:val="1"/>
          <w:wAfter w:w="56" w:type="dxa"/>
          <w:trHeight w:val="479"/>
          <w:tblHeader/>
        </w:trPr>
        <w:tc>
          <w:tcPr>
            <w:tcW w:w="4473" w:type="dxa"/>
            <w:gridSpan w:val="2"/>
            <w:vMerge w:val="restart"/>
            <w:tcBorders>
              <w:top w:val="single" w:sz="4" w:space="0" w:color="auto"/>
              <w:left w:val="nil"/>
              <w:bottom w:val="single" w:sz="4" w:space="0" w:color="auto"/>
              <w:right w:val="single" w:sz="4" w:space="0" w:color="auto"/>
            </w:tcBorders>
            <w:vAlign w:val="center"/>
            <w:hideMark/>
          </w:tcPr>
          <w:bookmarkEnd w:id="0"/>
          <w:p w:rsidR="006C1578" w:rsidRPr="00123A70" w:rsidRDefault="006C1578" w:rsidP="00787924">
            <w:pPr>
              <w:spacing w:before="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rPr>
              <w:t>Найменування та зміст заходу</w:t>
            </w:r>
          </w:p>
        </w:tc>
        <w:tc>
          <w:tcPr>
            <w:tcW w:w="3220" w:type="dxa"/>
            <w:gridSpan w:val="3"/>
            <w:tcBorders>
              <w:top w:val="single" w:sz="4" w:space="0" w:color="auto"/>
              <w:left w:val="single" w:sz="4" w:space="0" w:color="auto"/>
              <w:bottom w:val="single" w:sz="4" w:space="0" w:color="auto"/>
              <w:right w:val="single" w:sz="4" w:space="0" w:color="auto"/>
            </w:tcBorders>
            <w:vAlign w:val="center"/>
            <w:hideMark/>
          </w:tcPr>
          <w:p w:rsidR="006C1578" w:rsidRPr="00123A70" w:rsidRDefault="006C1578" w:rsidP="00787924">
            <w:pPr>
              <w:spacing w:before="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rPr>
              <w:t>Строки виконання</w:t>
            </w:r>
          </w:p>
        </w:tc>
        <w:tc>
          <w:tcPr>
            <w:tcW w:w="287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C1578" w:rsidRPr="00123A70" w:rsidRDefault="006C1578" w:rsidP="00787924">
            <w:pPr>
              <w:spacing w:before="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rPr>
              <w:t>Виконавці</w:t>
            </w:r>
          </w:p>
        </w:tc>
        <w:tc>
          <w:tcPr>
            <w:tcW w:w="3647" w:type="dxa"/>
            <w:gridSpan w:val="5"/>
            <w:tcBorders>
              <w:top w:val="single" w:sz="4" w:space="0" w:color="auto"/>
              <w:left w:val="single" w:sz="4" w:space="0" w:color="auto"/>
              <w:bottom w:val="single" w:sz="4" w:space="0" w:color="auto"/>
              <w:right w:val="single" w:sz="4" w:space="0" w:color="auto"/>
            </w:tcBorders>
            <w:vAlign w:val="center"/>
            <w:hideMark/>
          </w:tcPr>
          <w:p w:rsidR="006C1578" w:rsidRPr="00123A70" w:rsidRDefault="006C1578" w:rsidP="00787924">
            <w:pPr>
              <w:spacing w:before="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rPr>
              <w:t>Фінансові ресурси</w:t>
            </w:r>
          </w:p>
        </w:tc>
        <w:tc>
          <w:tcPr>
            <w:tcW w:w="1806" w:type="dxa"/>
            <w:vMerge w:val="restart"/>
            <w:tcBorders>
              <w:top w:val="single" w:sz="4" w:space="0" w:color="auto"/>
              <w:left w:val="single" w:sz="4" w:space="0" w:color="auto"/>
              <w:bottom w:val="single" w:sz="4" w:space="0" w:color="auto"/>
              <w:right w:val="single" w:sz="4" w:space="0" w:color="auto"/>
            </w:tcBorders>
            <w:vAlign w:val="center"/>
            <w:hideMark/>
          </w:tcPr>
          <w:p w:rsidR="006C1578" w:rsidRPr="00123A70" w:rsidRDefault="006C1578" w:rsidP="00787924">
            <w:pPr>
              <w:spacing w:before="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rPr>
              <w:t>Показник (індикатор) виконання</w:t>
            </w:r>
          </w:p>
        </w:tc>
        <w:tc>
          <w:tcPr>
            <w:tcW w:w="2269" w:type="dxa"/>
            <w:gridSpan w:val="2"/>
            <w:vMerge w:val="restart"/>
            <w:tcBorders>
              <w:top w:val="single" w:sz="4" w:space="0" w:color="auto"/>
              <w:left w:val="single" w:sz="4" w:space="0" w:color="auto"/>
              <w:bottom w:val="single" w:sz="4" w:space="0" w:color="auto"/>
              <w:right w:val="nil"/>
            </w:tcBorders>
            <w:vAlign w:val="center"/>
            <w:hideMark/>
          </w:tcPr>
          <w:p w:rsidR="006C1578" w:rsidRPr="00123A70" w:rsidRDefault="006C1578" w:rsidP="00787924">
            <w:pPr>
              <w:spacing w:before="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rPr>
              <w:t>Джерело даних</w:t>
            </w:r>
          </w:p>
        </w:tc>
        <w:tc>
          <w:tcPr>
            <w:tcW w:w="2971" w:type="dxa"/>
            <w:gridSpan w:val="2"/>
            <w:vMerge w:val="restart"/>
            <w:tcBorders>
              <w:top w:val="single" w:sz="4" w:space="0" w:color="auto"/>
              <w:left w:val="single" w:sz="4" w:space="0" w:color="auto"/>
              <w:right w:val="nil"/>
            </w:tcBorders>
          </w:tcPr>
          <w:p w:rsidR="006C1578" w:rsidRPr="00123A70" w:rsidRDefault="006C1578" w:rsidP="00787924">
            <w:pPr>
              <w:spacing w:before="60"/>
              <w:jc w:val="center"/>
              <w:rPr>
                <w:rFonts w:ascii="Times New Roman" w:eastAsia="Calibri" w:hAnsi="Times New Roman"/>
                <w:sz w:val="24"/>
                <w:szCs w:val="24"/>
                <w:lang w:eastAsia="en-US"/>
              </w:rPr>
            </w:pPr>
            <w:r>
              <w:rPr>
                <w:rFonts w:ascii="Times New Roman" w:eastAsia="Calibri" w:hAnsi="Times New Roman"/>
                <w:sz w:val="24"/>
                <w:szCs w:val="24"/>
                <w:lang w:eastAsia="en-US"/>
              </w:rPr>
              <w:t>Відповідальні структурні підрозділи Держмитслужби</w:t>
            </w:r>
          </w:p>
        </w:tc>
      </w:tr>
      <w:tr w:rsidR="006C1578" w:rsidRPr="00123A70" w:rsidTr="004B0178">
        <w:trPr>
          <w:gridAfter w:val="1"/>
          <w:wAfter w:w="56" w:type="dxa"/>
          <w:trHeight w:val="473"/>
          <w:tblHeader/>
        </w:trPr>
        <w:tc>
          <w:tcPr>
            <w:tcW w:w="4473" w:type="dxa"/>
            <w:gridSpan w:val="2"/>
            <w:vMerge/>
            <w:tcBorders>
              <w:top w:val="single" w:sz="4" w:space="0" w:color="auto"/>
              <w:left w:val="nil"/>
              <w:bottom w:val="single" w:sz="4" w:space="0" w:color="auto"/>
              <w:right w:val="single" w:sz="4" w:space="0" w:color="auto"/>
            </w:tcBorders>
            <w:vAlign w:val="center"/>
            <w:hideMark/>
          </w:tcPr>
          <w:p w:rsidR="006C1578" w:rsidRPr="00123A70" w:rsidRDefault="006C1578" w:rsidP="00787924">
            <w:pPr>
              <w:rPr>
                <w:rFonts w:ascii="Times New Roman" w:eastAsia="Calibri" w:hAnsi="Times New Roman"/>
                <w:sz w:val="24"/>
                <w:szCs w:val="24"/>
                <w:lang w:eastAsia="en-US"/>
              </w:rPr>
            </w:pPr>
          </w:p>
        </w:tc>
        <w:tc>
          <w:tcPr>
            <w:tcW w:w="1540" w:type="dxa"/>
            <w:gridSpan w:val="2"/>
            <w:tcBorders>
              <w:top w:val="single" w:sz="4" w:space="0" w:color="auto"/>
              <w:left w:val="single" w:sz="4" w:space="0" w:color="auto"/>
              <w:bottom w:val="single" w:sz="4" w:space="0" w:color="auto"/>
              <w:right w:val="single" w:sz="4" w:space="0" w:color="auto"/>
            </w:tcBorders>
            <w:vAlign w:val="center"/>
            <w:hideMark/>
          </w:tcPr>
          <w:p w:rsidR="006C1578" w:rsidRPr="00123A70" w:rsidRDefault="006C1578" w:rsidP="00787924">
            <w:pPr>
              <w:spacing w:before="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rPr>
              <w:t>дата початку</w:t>
            </w:r>
          </w:p>
        </w:tc>
        <w:tc>
          <w:tcPr>
            <w:tcW w:w="1680" w:type="dxa"/>
            <w:tcBorders>
              <w:top w:val="single" w:sz="4" w:space="0" w:color="auto"/>
              <w:left w:val="single" w:sz="4" w:space="0" w:color="auto"/>
              <w:bottom w:val="single" w:sz="4" w:space="0" w:color="auto"/>
              <w:right w:val="single" w:sz="4" w:space="0" w:color="auto"/>
            </w:tcBorders>
            <w:vAlign w:val="center"/>
            <w:hideMark/>
          </w:tcPr>
          <w:p w:rsidR="006C1578" w:rsidRPr="00123A70" w:rsidRDefault="006C1578" w:rsidP="00787924">
            <w:pPr>
              <w:spacing w:before="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rPr>
              <w:t>дата завершення</w:t>
            </w:r>
          </w:p>
        </w:tc>
        <w:tc>
          <w:tcPr>
            <w:tcW w:w="2871" w:type="dxa"/>
            <w:gridSpan w:val="2"/>
            <w:vMerge/>
            <w:tcBorders>
              <w:top w:val="single" w:sz="4" w:space="0" w:color="auto"/>
              <w:left w:val="single" w:sz="4" w:space="0" w:color="auto"/>
              <w:bottom w:val="single" w:sz="4" w:space="0" w:color="auto"/>
              <w:right w:val="single" w:sz="4" w:space="0" w:color="auto"/>
            </w:tcBorders>
            <w:vAlign w:val="center"/>
            <w:hideMark/>
          </w:tcPr>
          <w:p w:rsidR="006C1578" w:rsidRPr="00123A70" w:rsidRDefault="006C1578" w:rsidP="00787924">
            <w:pPr>
              <w:rPr>
                <w:rFonts w:ascii="Times New Roman" w:eastAsia="Calibri" w:hAnsi="Times New Roman"/>
                <w:sz w:val="24"/>
                <w:szCs w:val="24"/>
                <w:lang w:eastAsia="en-US"/>
              </w:rPr>
            </w:pPr>
          </w:p>
        </w:tc>
        <w:tc>
          <w:tcPr>
            <w:tcW w:w="1926" w:type="dxa"/>
            <w:gridSpan w:val="3"/>
            <w:tcBorders>
              <w:top w:val="single" w:sz="4" w:space="0" w:color="auto"/>
              <w:left w:val="single" w:sz="4" w:space="0" w:color="auto"/>
              <w:bottom w:val="single" w:sz="4" w:space="0" w:color="auto"/>
              <w:right w:val="single" w:sz="4" w:space="0" w:color="auto"/>
            </w:tcBorders>
            <w:vAlign w:val="center"/>
            <w:hideMark/>
          </w:tcPr>
          <w:p w:rsidR="006C1578" w:rsidRPr="00123A70" w:rsidRDefault="006C1578" w:rsidP="00787924">
            <w:pPr>
              <w:spacing w:before="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rPr>
              <w:t>джерела фінансування</w:t>
            </w:r>
          </w:p>
        </w:tc>
        <w:tc>
          <w:tcPr>
            <w:tcW w:w="1721" w:type="dxa"/>
            <w:gridSpan w:val="2"/>
            <w:tcBorders>
              <w:top w:val="single" w:sz="4" w:space="0" w:color="auto"/>
              <w:left w:val="single" w:sz="4" w:space="0" w:color="auto"/>
              <w:bottom w:val="single" w:sz="4" w:space="0" w:color="auto"/>
              <w:right w:val="single" w:sz="4" w:space="0" w:color="auto"/>
            </w:tcBorders>
            <w:vAlign w:val="center"/>
            <w:hideMark/>
          </w:tcPr>
          <w:p w:rsidR="006C1578" w:rsidRPr="00123A70" w:rsidRDefault="006C1578" w:rsidP="00787924">
            <w:pPr>
              <w:spacing w:before="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rPr>
              <w:t>обсяги фінансування,</w:t>
            </w:r>
          </w:p>
          <w:p w:rsidR="006C1578" w:rsidRPr="00123A70" w:rsidRDefault="006C1578" w:rsidP="00787924">
            <w:pPr>
              <w:spacing w:after="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rPr>
              <w:t>тис. гривень</w:t>
            </w:r>
          </w:p>
        </w:tc>
        <w:tc>
          <w:tcPr>
            <w:tcW w:w="1806" w:type="dxa"/>
            <w:vMerge/>
            <w:tcBorders>
              <w:top w:val="single" w:sz="4" w:space="0" w:color="auto"/>
              <w:left w:val="single" w:sz="4" w:space="0" w:color="auto"/>
              <w:bottom w:val="single" w:sz="4" w:space="0" w:color="auto"/>
              <w:right w:val="single" w:sz="4" w:space="0" w:color="auto"/>
            </w:tcBorders>
            <w:vAlign w:val="center"/>
            <w:hideMark/>
          </w:tcPr>
          <w:p w:rsidR="006C1578" w:rsidRPr="00123A70" w:rsidRDefault="006C1578" w:rsidP="00787924">
            <w:pPr>
              <w:rPr>
                <w:rFonts w:ascii="Times New Roman" w:eastAsia="Calibri" w:hAnsi="Times New Roman"/>
                <w:sz w:val="24"/>
                <w:szCs w:val="24"/>
                <w:lang w:eastAsia="en-US"/>
              </w:rPr>
            </w:pPr>
          </w:p>
        </w:tc>
        <w:tc>
          <w:tcPr>
            <w:tcW w:w="2269" w:type="dxa"/>
            <w:gridSpan w:val="2"/>
            <w:vMerge/>
            <w:tcBorders>
              <w:top w:val="single" w:sz="4" w:space="0" w:color="auto"/>
              <w:left w:val="single" w:sz="4" w:space="0" w:color="auto"/>
              <w:bottom w:val="single" w:sz="4" w:space="0" w:color="auto"/>
              <w:right w:val="nil"/>
            </w:tcBorders>
            <w:vAlign w:val="center"/>
            <w:hideMark/>
          </w:tcPr>
          <w:p w:rsidR="006C1578" w:rsidRPr="00123A70" w:rsidRDefault="006C1578" w:rsidP="00787924">
            <w:pPr>
              <w:rPr>
                <w:rFonts w:ascii="Times New Roman" w:eastAsia="Calibri" w:hAnsi="Times New Roman"/>
                <w:sz w:val="24"/>
                <w:szCs w:val="24"/>
                <w:lang w:eastAsia="en-US"/>
              </w:rPr>
            </w:pPr>
          </w:p>
        </w:tc>
        <w:tc>
          <w:tcPr>
            <w:tcW w:w="2971" w:type="dxa"/>
            <w:gridSpan w:val="2"/>
            <w:vMerge/>
            <w:tcBorders>
              <w:left w:val="single" w:sz="4" w:space="0" w:color="auto"/>
              <w:bottom w:val="single" w:sz="4" w:space="0" w:color="auto"/>
              <w:right w:val="nil"/>
            </w:tcBorders>
          </w:tcPr>
          <w:p w:rsidR="006C1578" w:rsidRPr="00123A70" w:rsidRDefault="006C1578" w:rsidP="00787924">
            <w:pPr>
              <w:rPr>
                <w:rFonts w:ascii="Times New Roman" w:eastAsia="Calibri" w:hAnsi="Times New Roman"/>
                <w:sz w:val="24"/>
                <w:szCs w:val="24"/>
                <w:lang w:eastAsia="en-US"/>
              </w:rPr>
            </w:pPr>
          </w:p>
        </w:tc>
      </w:tr>
      <w:tr w:rsidR="006C1578" w:rsidRPr="00123A70" w:rsidTr="004B0178">
        <w:trPr>
          <w:trHeight w:val="230"/>
        </w:trPr>
        <w:tc>
          <w:tcPr>
            <w:tcW w:w="2036" w:type="dxa"/>
          </w:tcPr>
          <w:p w:rsidR="006C1578" w:rsidRPr="00123A70" w:rsidRDefault="006C1578" w:rsidP="00787924">
            <w:pPr>
              <w:spacing w:before="60"/>
              <w:jc w:val="center"/>
              <w:rPr>
                <w:rFonts w:ascii="Times New Roman" w:eastAsia="Calibri" w:hAnsi="Times New Roman"/>
                <w:sz w:val="24"/>
                <w:szCs w:val="24"/>
                <w:lang w:eastAsia="en-US" w:bidi="uk-UA"/>
              </w:rPr>
            </w:pPr>
          </w:p>
        </w:tc>
        <w:tc>
          <w:tcPr>
            <w:tcW w:w="15529" w:type="dxa"/>
            <w:gridSpan w:val="13"/>
            <w:hideMark/>
          </w:tcPr>
          <w:p w:rsidR="006C1578" w:rsidRPr="00123A70" w:rsidRDefault="006C1578" w:rsidP="00787924">
            <w:pPr>
              <w:spacing w:before="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bidi="uk-UA"/>
              </w:rPr>
              <w:t>2.3. Митна справа та оподаткування</w:t>
            </w:r>
          </w:p>
        </w:tc>
        <w:tc>
          <w:tcPr>
            <w:tcW w:w="3748" w:type="dxa"/>
            <w:gridSpan w:val="4"/>
          </w:tcPr>
          <w:p w:rsidR="006C1578" w:rsidRPr="00123A70" w:rsidRDefault="006C1578" w:rsidP="00787924">
            <w:pPr>
              <w:spacing w:before="60"/>
              <w:jc w:val="center"/>
              <w:rPr>
                <w:rFonts w:ascii="Times New Roman" w:eastAsia="Calibri" w:hAnsi="Times New Roman"/>
                <w:sz w:val="24"/>
                <w:szCs w:val="24"/>
                <w:lang w:eastAsia="en-US" w:bidi="uk-UA"/>
              </w:rPr>
            </w:pPr>
          </w:p>
        </w:tc>
      </w:tr>
      <w:tr w:rsidR="006C1578" w:rsidRPr="00123A70" w:rsidTr="004B0178">
        <w:trPr>
          <w:trHeight w:val="230"/>
        </w:trPr>
        <w:tc>
          <w:tcPr>
            <w:tcW w:w="17565" w:type="dxa"/>
            <w:gridSpan w:val="14"/>
          </w:tcPr>
          <w:p w:rsidR="006C1578" w:rsidRPr="00123A70" w:rsidRDefault="006C1578" w:rsidP="006C1578">
            <w:pPr>
              <w:spacing w:before="60"/>
              <w:jc w:val="both"/>
              <w:rPr>
                <w:rFonts w:ascii="Times New Roman" w:eastAsia="Calibri" w:hAnsi="Times New Roman"/>
                <w:sz w:val="24"/>
                <w:szCs w:val="24"/>
                <w:lang w:eastAsia="en-US"/>
              </w:rPr>
            </w:pPr>
            <w:r w:rsidRPr="00123A70">
              <w:rPr>
                <w:rFonts w:ascii="Times New Roman" w:eastAsia="Calibri" w:hAnsi="Times New Roman"/>
                <w:sz w:val="24"/>
                <w:szCs w:val="24"/>
                <w:lang w:eastAsia="en-US" w:bidi="uk-UA"/>
              </w:rPr>
              <w:t xml:space="preserve">Проблема 2.3.1. </w:t>
            </w:r>
            <w:r w:rsidRPr="00123A70">
              <w:rPr>
                <w:rFonts w:ascii="Times New Roman" w:eastAsia="Calibri" w:hAnsi="Times New Roman"/>
                <w:sz w:val="24"/>
                <w:szCs w:val="24"/>
                <w:lang w:eastAsia="en-US"/>
              </w:rPr>
              <w:t>Недостатня прозорість та ефективність роботи митних органів, надмірний обсяг дискреційних повноважень у працівників митниці</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bidi="uk-UA"/>
              </w:rPr>
            </w:pPr>
          </w:p>
        </w:tc>
      </w:tr>
      <w:tr w:rsidR="006C1578" w:rsidRPr="00123A70" w:rsidTr="004B0178">
        <w:trPr>
          <w:trHeight w:val="230"/>
        </w:trPr>
        <w:tc>
          <w:tcPr>
            <w:tcW w:w="17565" w:type="dxa"/>
            <w:gridSpan w:val="14"/>
          </w:tcPr>
          <w:p w:rsidR="006C1578" w:rsidRPr="00123A70" w:rsidRDefault="006C1578" w:rsidP="006C1578">
            <w:pPr>
              <w:spacing w:before="60"/>
              <w:ind w:left="-27"/>
              <w:jc w:val="both"/>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Очікуваний стратегічний результат 2.3.1.1. Усунуті підстави для можливої корупції працівників митних органів шляхом запровадження правила, за яким резервні методи визначення митної вартості можуть застосовуватися виключно в межах апеляційних процедур</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2.3.1.1.1. Розроблення та подання Кабінетові Міністрів України проекту закону щодо внесення змін до Митного кодексу України, відповідно до якого </w:t>
            </w:r>
            <w:r w:rsidRPr="00123A70">
              <w:rPr>
                <w:rFonts w:ascii="Times New Roman" w:eastAsia="Calibri" w:hAnsi="Times New Roman"/>
                <w:sz w:val="24"/>
                <w:szCs w:val="24"/>
                <w:lang w:eastAsia="en-US"/>
              </w:rPr>
              <w:t xml:space="preserve">розділ щодо контролю </w:t>
            </w:r>
            <w:r w:rsidRPr="00123A70">
              <w:rPr>
                <w:rFonts w:ascii="Times New Roman" w:eastAsia="Calibri" w:hAnsi="Times New Roman"/>
                <w:sz w:val="24"/>
                <w:szCs w:val="24"/>
                <w:lang w:eastAsia="en-US" w:bidi="uk-UA"/>
              </w:rPr>
              <w:t xml:space="preserve">правильності визначення митної </w:t>
            </w:r>
            <w:r w:rsidRPr="00123A70">
              <w:rPr>
                <w:rFonts w:ascii="Times New Roman" w:eastAsia="Calibri" w:hAnsi="Times New Roman"/>
                <w:sz w:val="24"/>
                <w:szCs w:val="24"/>
                <w:lang w:eastAsia="en-US"/>
              </w:rPr>
              <w:t xml:space="preserve">вартості приведено у відповідність з Регламентом ЄС № 952/2013 </w:t>
            </w:r>
            <w:r w:rsidRPr="00123A70">
              <w:rPr>
                <w:rFonts w:ascii="Times New Roman" w:eastAsia="Calibri" w:hAnsi="Times New Roman"/>
                <w:sz w:val="24"/>
                <w:szCs w:val="24"/>
                <w:lang w:eastAsia="en-US"/>
              </w:rPr>
              <w:br/>
              <w:t>від 9 жовтня 2013 р., Угодою про застосування статті VІІ ГАТТ і статтею VII Генеральної угоди з тарифів і торгівлі 1994 року</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жовтень</w:t>
            </w:r>
            <w:r w:rsidRPr="00123A70">
              <w:rPr>
                <w:rFonts w:ascii="Times New Roman" w:eastAsia="Calibri" w:hAnsi="Times New Roman"/>
                <w:sz w:val="24"/>
                <w:szCs w:val="24"/>
                <w:lang w:eastAsia="en-US" w:bidi="uk-UA"/>
              </w:rPr>
              <w:br/>
              <w:t>2023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проект закону подано до Верховної Ради України</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Верховної Ради України</w:t>
            </w:r>
          </w:p>
        </w:tc>
        <w:tc>
          <w:tcPr>
            <w:tcW w:w="2265" w:type="dxa"/>
          </w:tcPr>
          <w:p w:rsidR="006C1578" w:rsidRDefault="009B0BF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контролю та адміністрування митних платежів</w:t>
            </w:r>
          </w:p>
          <w:p w:rsidR="009B0BFE" w:rsidRPr="00123A70" w:rsidRDefault="009B0BF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Юридичний департамент</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2.3.1.1.2. Розроблення </w:t>
            </w:r>
            <w:r w:rsidRPr="00123A70">
              <w:rPr>
                <w:rFonts w:ascii="Times New Roman" w:eastAsia="Calibri" w:hAnsi="Times New Roman"/>
                <w:sz w:val="24"/>
                <w:szCs w:val="24"/>
                <w:lang w:eastAsia="en-US"/>
              </w:rPr>
              <w:t xml:space="preserve">стандартного алгоритму дій посадових осіб митних органів під час контролю </w:t>
            </w:r>
            <w:r w:rsidRPr="00123A70">
              <w:rPr>
                <w:rFonts w:ascii="Times New Roman" w:eastAsia="Calibri" w:hAnsi="Times New Roman"/>
                <w:sz w:val="24"/>
                <w:szCs w:val="24"/>
                <w:lang w:eastAsia="en-US" w:bidi="uk-UA"/>
              </w:rPr>
              <w:t xml:space="preserve">правильності визначення митної </w:t>
            </w:r>
            <w:r w:rsidRPr="00123A70">
              <w:rPr>
                <w:rFonts w:ascii="Times New Roman" w:eastAsia="Calibri" w:hAnsi="Times New Roman"/>
                <w:sz w:val="24"/>
                <w:szCs w:val="24"/>
                <w:lang w:eastAsia="en-US"/>
              </w:rPr>
              <w:t>вартості товарів на етапі митного оформлення та після його завершення</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листопад</w:t>
            </w:r>
            <w:r w:rsidRPr="00123A70">
              <w:rPr>
                <w:rFonts w:ascii="Times New Roman" w:eastAsia="Calibri" w:hAnsi="Times New Roman"/>
                <w:sz w:val="24"/>
                <w:szCs w:val="24"/>
                <w:lang w:eastAsia="en-US" w:bidi="uk-UA"/>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квітень</w:t>
            </w:r>
            <w:r w:rsidRPr="00123A70">
              <w:rPr>
                <w:rFonts w:ascii="Times New Roman" w:eastAsia="Calibri" w:hAnsi="Times New Roman"/>
                <w:sz w:val="24"/>
                <w:szCs w:val="24"/>
                <w:lang w:eastAsia="en-US" w:bidi="uk-UA"/>
              </w:rPr>
              <w:br/>
              <w:t>2024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прийнято організаційно-розпорядчі документи для затвердження стандартних алгоритмів дій</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2265" w:type="dxa"/>
          </w:tcPr>
          <w:p w:rsidR="006C1578" w:rsidRPr="00123A70" w:rsidRDefault="004B0178"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контролю та адміністрування митних платежів</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2.3.1.1.3. </w:t>
            </w:r>
            <w:r w:rsidRPr="00123A70">
              <w:rPr>
                <w:rFonts w:ascii="Times New Roman" w:eastAsia="Calibri" w:hAnsi="Times New Roman"/>
                <w:sz w:val="24"/>
                <w:szCs w:val="24"/>
                <w:lang w:eastAsia="en-US"/>
              </w:rPr>
              <w:t>Забезпечення проведення навчань та тренінгів посадових осіб митних органів щодо методів визначення митної вартості товарів</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грудень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навчанням та тренінгами охоплено не менше </w:t>
            </w:r>
            <w:r w:rsidRPr="00123A70">
              <w:rPr>
                <w:rFonts w:ascii="Times New Roman" w:eastAsia="Calibri" w:hAnsi="Times New Roman"/>
                <w:sz w:val="24"/>
                <w:szCs w:val="24"/>
                <w:lang w:eastAsia="en-US" w:bidi="uk-UA"/>
              </w:rPr>
              <w:br/>
              <w:t>600 посадових осіб митних органів</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2265" w:type="dxa"/>
          </w:tcPr>
          <w:p w:rsidR="006C1578" w:rsidRDefault="009B0BF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контролю та адміністрування митних платежів</w:t>
            </w:r>
          </w:p>
          <w:p w:rsidR="009B0BFE" w:rsidRPr="00123A70" w:rsidRDefault="009B0BF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по роботі з персоналом</w:t>
            </w: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Очікуваний стратегічний результат 2.3.1.2. Офіційним імпортерам (що мають виключне право на імпорт окремих товарів або франшизу, надану виробником чи офіційним дистриб’ютором таких товарів) надано можливість оскаржити рішення митного органу про визначення митної вартості або про класифікацію товарів, які ввозяться особами, що не мають статусу офіційних імпортерів</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line="228" w:lineRule="auto"/>
              <w:rPr>
                <w:rFonts w:ascii="Times New Roman" w:eastAsia="Calibri" w:hAnsi="Times New Roman"/>
                <w:bCs/>
                <w:kern w:val="28"/>
                <w:sz w:val="24"/>
                <w:szCs w:val="24"/>
                <w:lang w:eastAsia="en-US"/>
              </w:rPr>
            </w:pPr>
            <w:r w:rsidRPr="00123A70">
              <w:rPr>
                <w:rFonts w:ascii="Times New Roman" w:eastAsia="Calibri" w:hAnsi="Times New Roman"/>
                <w:sz w:val="24"/>
                <w:szCs w:val="24"/>
                <w:lang w:eastAsia="en-US" w:bidi="uk-UA"/>
              </w:rPr>
              <w:t>2.3.1.2.1. Розроблення та подання Кабінетові Міністрів України проекту закону щодо внесення змін до Митного кодексу України, відповідно до яког</w:t>
            </w:r>
            <w:r w:rsidRPr="00123A70">
              <w:rPr>
                <w:rFonts w:ascii="Times New Roman" w:eastAsia="Calibri" w:hAnsi="Times New Roman"/>
                <w:bCs/>
                <w:kern w:val="28"/>
                <w:sz w:val="24"/>
                <w:szCs w:val="24"/>
                <w:lang w:eastAsia="en-US"/>
              </w:rPr>
              <w:t>о:</w:t>
            </w:r>
          </w:p>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 xml:space="preserve">1) визначено достатність висновку правовласника для підтвердження порушення прав інтелектуальної власності </w:t>
            </w:r>
            <w:r w:rsidRPr="00123A70">
              <w:rPr>
                <w:rFonts w:ascii="Times New Roman" w:eastAsia="Calibri" w:hAnsi="Times New Roman"/>
                <w:sz w:val="24"/>
                <w:szCs w:val="24"/>
                <w:lang w:eastAsia="en-US" w:bidi="uk-UA"/>
              </w:rPr>
              <w:lastRenderedPageBreak/>
              <w:t>та складення протоколу про порушення митних правил, пов’язаних з переміщенням товарів через митний кордон України з порушенням прав інтелектуальної власності;</w:t>
            </w:r>
          </w:p>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2) поширено застосування заходів щодо сприяння захисту прав інтелектуальної власності на випадки виявлення товарів, що підозрюються у порушенні прав інтелектуальної власності, та переміщуються поза митним контролем, з приховуванням від митного контролю, шляхом недекларування тощо;</w:t>
            </w:r>
          </w:p>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3) посилено адміністративну відповідальність за переміщення товарів через митний кордон України з порушенням прав інтелектуальної власності;</w:t>
            </w:r>
          </w:p>
          <w:p w:rsidR="006C1578" w:rsidRPr="00123A70" w:rsidRDefault="006C1578" w:rsidP="00787924">
            <w:pPr>
              <w:keepNext/>
              <w:spacing w:before="60" w:line="228" w:lineRule="auto"/>
              <w:rPr>
                <w:rFonts w:ascii="Times New Roman" w:eastAsia="Calibri" w:hAnsi="Times New Roman"/>
                <w:bCs/>
                <w:kern w:val="28"/>
                <w:sz w:val="24"/>
                <w:szCs w:val="24"/>
                <w:lang w:eastAsia="en-US"/>
              </w:rPr>
            </w:pPr>
            <w:r w:rsidRPr="00123A70">
              <w:rPr>
                <w:rFonts w:ascii="Times New Roman" w:eastAsia="Calibri" w:hAnsi="Times New Roman"/>
                <w:sz w:val="24"/>
                <w:szCs w:val="24"/>
                <w:lang w:eastAsia="en-US" w:bidi="uk-UA"/>
              </w:rPr>
              <w:t>4) включено правовласника до переліку осіб, які беруть участь у провадженні у справах про порушення митних правил за статтею 476 Митного кодексу України</w:t>
            </w:r>
          </w:p>
        </w:tc>
        <w:tc>
          <w:tcPr>
            <w:tcW w:w="1265"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lastRenderedPageBreak/>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жовтень</w:t>
            </w:r>
            <w:r w:rsidRPr="00123A70">
              <w:rPr>
                <w:rFonts w:ascii="Times New Roman" w:eastAsia="Calibri" w:hAnsi="Times New Roman"/>
                <w:sz w:val="24"/>
                <w:szCs w:val="24"/>
                <w:lang w:eastAsia="en-US" w:bidi="uk-UA"/>
              </w:rPr>
              <w:br/>
              <w:t>2023 р.</w:t>
            </w:r>
          </w:p>
        </w:tc>
        <w:tc>
          <w:tcPr>
            <w:tcW w:w="236" w:type="dxa"/>
          </w:tcPr>
          <w:p w:rsidR="006C1578" w:rsidRPr="00123A70" w:rsidRDefault="006C1578" w:rsidP="00787924">
            <w:pPr>
              <w:spacing w:before="60" w:line="228" w:lineRule="auto"/>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проект закону подано до Верховної Ради України</w:t>
            </w:r>
          </w:p>
        </w:tc>
        <w:tc>
          <w:tcPr>
            <w:tcW w:w="2269"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Верховної Ради України</w:t>
            </w:r>
          </w:p>
        </w:tc>
        <w:tc>
          <w:tcPr>
            <w:tcW w:w="2265" w:type="dxa"/>
          </w:tcPr>
          <w:p w:rsidR="004B0178" w:rsidRDefault="009E3605" w:rsidP="00787924">
            <w:pPr>
              <w:spacing w:before="60" w:line="228" w:lineRule="auto"/>
              <w:rPr>
                <w:rFonts w:ascii="Times New Roman" w:eastAsia="Calibri" w:hAnsi="Times New Roman"/>
                <w:sz w:val="24"/>
                <w:szCs w:val="24"/>
                <w:lang w:eastAsia="en-US" w:bidi="uk-UA"/>
              </w:rPr>
            </w:pPr>
            <w:r w:rsidRPr="009E3605">
              <w:rPr>
                <w:rFonts w:ascii="Times New Roman" w:eastAsia="Calibri" w:hAnsi="Times New Roman"/>
                <w:sz w:val="24"/>
                <w:szCs w:val="24"/>
                <w:lang w:eastAsia="en-US" w:bidi="uk-UA"/>
              </w:rPr>
              <w:t xml:space="preserve">Департамент нетарифного регулювання </w:t>
            </w:r>
            <w:r w:rsidR="004B0178">
              <w:rPr>
                <w:rFonts w:ascii="Times New Roman" w:eastAsia="Calibri" w:hAnsi="Times New Roman"/>
                <w:sz w:val="24"/>
                <w:szCs w:val="24"/>
                <w:lang w:eastAsia="en-US" w:bidi="uk-UA"/>
              </w:rPr>
              <w:t>Юридичний департамент</w:t>
            </w:r>
          </w:p>
          <w:p w:rsidR="004B0178" w:rsidRPr="00123A70" w:rsidRDefault="004B0178" w:rsidP="00787924">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 xml:space="preserve">Департамент боротьби з </w:t>
            </w:r>
            <w:r>
              <w:rPr>
                <w:rFonts w:ascii="Times New Roman" w:eastAsia="Calibri" w:hAnsi="Times New Roman"/>
                <w:sz w:val="24"/>
                <w:szCs w:val="24"/>
                <w:lang w:eastAsia="en-US" w:bidi="uk-UA"/>
              </w:rPr>
              <w:lastRenderedPageBreak/>
              <w:t>контрабандою та порушеннями митних правил</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lastRenderedPageBreak/>
              <w:t>2.3.1.2.5. Розроблення та введення в експлуатацію нових програмно-інформаційних комплексів, спрямованих, зокрема, на:</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1) забезпечення можливості відстеження дій, пов’язаних із застосуванням заходів щодо сприяння захисту прав інтелектуальної власності, як з боку митних органів, так і з боку правовласників;</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2) прискорення взаємодії між митними органами та правовласниками шляхом переходу до інформаційного обміну в електронній формі;</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3) застосування стандартизованих підходів до фіксації всіх дій та рішень, пов’язаних із застосуванням заходів щодо сприяння захисту прав інтелектуальної власності, розширення переліку інформації, яка акумулюється у відповідних програмно-інформаційних комплексах, з метою розширення можливостей для аналізу, звітування, а також удосконалення системи управління ризиками;</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4) створення додаткових джерел інформації для використання митними органами під час здійснення заходів щодо сприяння захисту прав інтелектуальної власності;</w:t>
            </w:r>
          </w:p>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5) впровадження інтелектуальних систем аналізу ефективності роботи митних органів за напрямом сприяння захисту прав інтелектуальної власності та подальшого вдосконалення бізнес-процесів</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лютий</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 та/або кошти міжнародної технічної допомоги</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рік/у межах коштів міжнародної технічної допомоги</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програмно-інформаційні комплекси розроблено та введено в експлуатацію</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4B0178" w:rsidRDefault="004B0178" w:rsidP="004B0178">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 xml:space="preserve">Департамент з питань цифрового розвитку, цифрових трансформацій і </w:t>
            </w:r>
            <w:proofErr w:type="spellStart"/>
            <w:r>
              <w:rPr>
                <w:rFonts w:ascii="Times New Roman" w:eastAsia="Calibri" w:hAnsi="Times New Roman"/>
                <w:sz w:val="24"/>
                <w:szCs w:val="24"/>
                <w:lang w:eastAsia="en-US" w:bidi="uk-UA"/>
              </w:rPr>
              <w:t>цифровізації</w:t>
            </w:r>
            <w:proofErr w:type="spellEnd"/>
          </w:p>
          <w:p w:rsidR="006C1578" w:rsidRPr="00123A70" w:rsidRDefault="006C1578" w:rsidP="00787924">
            <w:pPr>
              <w:spacing w:before="60"/>
              <w:rPr>
                <w:rFonts w:ascii="Times New Roman" w:eastAsia="Calibri" w:hAnsi="Times New Roman"/>
                <w:sz w:val="24"/>
                <w:szCs w:val="24"/>
                <w:lang w:eastAsia="en-US" w:bidi="uk-UA"/>
              </w:rPr>
            </w:pP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Очікуваний стратегічний результат 2.3.1.3. Мінімізовано корупційні ризики у результаті створення органу громадського контролю за поточною діяльністю митних органів, який має повноваження, визначені законом</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2.3.1.3.1. Розроблення та подання Кабінетові Міністрів України проекту закону, відповідно до якого:</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1) визначено статус органу громадського контролю за поточною діяльністю Держмитслужби;</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2) визначено вимоги до формування органу громадського контролю за поточною діяльністю Держмитслужби, які передбачають прозорий конкурс шляхом рейтингового інтернет-голосування громадян, які проживають на території України, за кандидатів, що були обрані серед громадських організацій, бізнес-асоціацій та експертів;</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3) визначено кількість членів органу громадського контролю за поточною діяльністю Держмитслужби, а також встановлено, що серед них не повинно бути представників органів державної влади та органів місцевого самоврядування або афілійованих із ними представників громадськості;</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4) установлено повноваження органу громадського контролю за поточною діяльністю Держмитслужби, які, зокрема, включають участь в оцінці корупційних ризиків та вжитті заходів із запобігання корупції, розробленні проектів нормативно-правових актів, здійснення моніторингу ефективності реалізації Держмитслужбою її повноважень;</w:t>
            </w:r>
          </w:p>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5) установлено, що строк повноважень члена органу громадського контролю за поточною діяльністю Держмитслужби становить два роки</w:t>
            </w:r>
          </w:p>
        </w:tc>
        <w:tc>
          <w:tcPr>
            <w:tcW w:w="1265" w:type="dxa"/>
            <w:hideMark/>
          </w:tcPr>
          <w:p w:rsidR="006C1578" w:rsidRPr="00123A70" w:rsidRDefault="009E3605" w:rsidP="00787924">
            <w:pPr>
              <w:spacing w:before="60"/>
              <w:rPr>
                <w:rFonts w:ascii="Times New Roman" w:eastAsia="Calibri" w:hAnsi="Times New Roman"/>
                <w:sz w:val="24"/>
                <w:szCs w:val="24"/>
                <w:lang w:eastAsia="uk-UA" w:bidi="uk-UA"/>
              </w:rPr>
            </w:pPr>
            <w:r>
              <w:rPr>
                <w:rFonts w:ascii="Times New Roman" w:eastAsia="Calibri" w:hAnsi="Times New Roman"/>
                <w:sz w:val="24"/>
                <w:szCs w:val="24"/>
                <w:lang w:eastAsia="en-US" w:bidi="uk-UA"/>
              </w:rPr>
              <w:t>січень</w:t>
            </w:r>
            <w:r>
              <w:rPr>
                <w:rFonts w:ascii="Times New Roman" w:eastAsia="Calibri" w:hAnsi="Times New Roman"/>
                <w:sz w:val="24"/>
                <w:szCs w:val="24"/>
                <w:lang w:eastAsia="en-US" w:bidi="uk-UA"/>
              </w:rPr>
              <w:br/>
              <w:t>2025</w:t>
            </w:r>
            <w:r w:rsidR="006C1578" w:rsidRPr="00123A70">
              <w:rPr>
                <w:rFonts w:ascii="Times New Roman" w:eastAsia="Calibri" w:hAnsi="Times New Roman"/>
                <w:sz w:val="24"/>
                <w:szCs w:val="24"/>
                <w:lang w:eastAsia="en-US" w:bidi="uk-UA"/>
              </w:rPr>
              <w:t xml:space="preserve"> р.</w:t>
            </w:r>
          </w:p>
        </w:tc>
        <w:tc>
          <w:tcPr>
            <w:tcW w:w="1955" w:type="dxa"/>
            <w:gridSpan w:val="2"/>
            <w:hideMark/>
          </w:tcPr>
          <w:p w:rsidR="006C1578" w:rsidRPr="00123A70" w:rsidRDefault="009E3605" w:rsidP="00787924">
            <w:pPr>
              <w:spacing w:before="60"/>
              <w:rPr>
                <w:rFonts w:ascii="Times New Roman" w:eastAsia="Calibri" w:hAnsi="Times New Roman"/>
                <w:sz w:val="24"/>
                <w:szCs w:val="24"/>
                <w:lang w:eastAsia="uk-UA" w:bidi="uk-UA"/>
              </w:rPr>
            </w:pPr>
            <w:r>
              <w:rPr>
                <w:rFonts w:ascii="Times New Roman" w:eastAsia="Calibri" w:hAnsi="Times New Roman"/>
                <w:sz w:val="24"/>
                <w:szCs w:val="24"/>
                <w:lang w:eastAsia="en-US" w:bidi="uk-UA"/>
              </w:rPr>
              <w:t>серпень</w:t>
            </w:r>
            <w:r>
              <w:rPr>
                <w:rFonts w:ascii="Times New Roman" w:eastAsia="Calibri" w:hAnsi="Times New Roman"/>
                <w:sz w:val="24"/>
                <w:szCs w:val="24"/>
                <w:lang w:eastAsia="en-US" w:bidi="uk-UA"/>
              </w:rPr>
              <w:br/>
              <w:t>2025</w:t>
            </w:r>
            <w:r w:rsidR="006C1578" w:rsidRPr="00123A70">
              <w:rPr>
                <w:rFonts w:ascii="Times New Roman" w:eastAsia="Calibri" w:hAnsi="Times New Roman"/>
                <w:sz w:val="24"/>
                <w:szCs w:val="24"/>
                <w:lang w:eastAsia="en-US" w:bidi="uk-UA"/>
              </w:rPr>
              <w:t xml:space="preserve">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Національне агентство</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проект закону подано до Верховної Ради </w:t>
            </w:r>
            <w:proofErr w:type="spellStart"/>
            <w:r w:rsidRPr="00123A70">
              <w:rPr>
                <w:rFonts w:ascii="Times New Roman" w:eastAsia="Calibri" w:hAnsi="Times New Roman"/>
                <w:sz w:val="24"/>
                <w:szCs w:val="24"/>
                <w:lang w:eastAsia="en-US" w:bidi="uk-UA"/>
              </w:rPr>
              <w:t>України</w:t>
            </w:r>
            <w:r w:rsidR="00E748AE">
              <w:rPr>
                <w:rFonts w:ascii="Times New Roman" w:eastAsia="Calibri" w:hAnsi="Times New Roman"/>
                <w:sz w:val="24"/>
                <w:szCs w:val="24"/>
                <w:lang w:eastAsia="en-US" w:bidi="uk-UA"/>
              </w:rPr>
              <w:t>персон</w:t>
            </w:r>
            <w:proofErr w:type="spellEnd"/>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Верховної Ради України</w:t>
            </w:r>
          </w:p>
        </w:tc>
        <w:tc>
          <w:tcPr>
            <w:tcW w:w="2265" w:type="dxa"/>
          </w:tcPr>
          <w:p w:rsidR="006C1578" w:rsidRDefault="004B0178"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Відділ прес-служби та взаємодії з громадськістю</w:t>
            </w:r>
          </w:p>
          <w:p w:rsidR="004B0178" w:rsidRDefault="004B0178"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Юридичний департамент</w:t>
            </w:r>
          </w:p>
          <w:p w:rsidR="004B0178" w:rsidRPr="00123A70" w:rsidRDefault="009E3605" w:rsidP="00787924">
            <w:pPr>
              <w:spacing w:before="60"/>
              <w:rPr>
                <w:rFonts w:ascii="Times New Roman" w:eastAsia="Calibri" w:hAnsi="Times New Roman"/>
                <w:sz w:val="24"/>
                <w:szCs w:val="24"/>
                <w:lang w:eastAsia="en-US" w:bidi="uk-UA"/>
              </w:rPr>
            </w:pPr>
            <w:r w:rsidRPr="009E3605">
              <w:rPr>
                <w:rFonts w:ascii="Times New Roman" w:eastAsia="Calibri" w:hAnsi="Times New Roman"/>
                <w:sz w:val="24"/>
                <w:szCs w:val="24"/>
                <w:lang w:eastAsia="en-US" w:bidi="uk-UA"/>
              </w:rPr>
              <w:t>Управління з питань запобігання та виявлення корупції</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2.3.1.3.2. Розроблення проекту Положення про орган громадського контролю за поточною діяльністю Держмитслужби</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день набрання чинності законом, зазначеним у підпункті 2.3.1.3.1</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два місяці з дня набрання чинності законом, зазначеним у підпункті 2.3.1.3.1</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w:t>
            </w:r>
            <w:r w:rsidR="0002099D">
              <w:rPr>
                <w:rFonts w:ascii="Times New Roman" w:eastAsia="Calibri" w:hAnsi="Times New Roman"/>
                <w:sz w:val="24"/>
                <w:szCs w:val="24"/>
                <w:lang w:eastAsia="en-US" w:bidi="uk-UA"/>
              </w:rPr>
              <w:t>т</w:t>
            </w:r>
            <w:r w:rsidRPr="00123A70">
              <w:rPr>
                <w:rFonts w:ascii="Times New Roman" w:eastAsia="Calibri" w:hAnsi="Times New Roman"/>
                <w:sz w:val="24"/>
                <w:szCs w:val="24"/>
                <w:lang w:eastAsia="en-US" w:bidi="uk-UA"/>
              </w:rPr>
              <w:t>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проект Положення оприлюднено для проведення громадського обговорення</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2265" w:type="dxa"/>
          </w:tcPr>
          <w:p w:rsidR="006C1578" w:rsidRPr="00123A70" w:rsidRDefault="004B0178"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Юридичний департамент</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2.3.1.3.3. Проведення громадського обговорення проекту Положення, зазначеного у підпункті 2.3.1.3.2, забезпечення його доопрацювання (у разі потреби) та затвердження</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три місяці з дня набрання чинності законом, зазначеним у підпункті 2.3.1.3.1</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чотири місяці з дня набрання чинності законом, зазначеним у підпункті 2.3.1.3.1</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положення затверджено</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6C1578" w:rsidRPr="00123A70" w:rsidRDefault="00766E3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Юридичний департамент</w:t>
            </w: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 xml:space="preserve">Очікуваний стратегічний результат 2.3.1.4. Мінімізовано необґрунтований вплив суб’єктивних чинників під час митного оформлення завдяки автоматизації та </w:t>
            </w:r>
            <w:proofErr w:type="spellStart"/>
            <w:r w:rsidRPr="00123A70">
              <w:rPr>
                <w:rFonts w:ascii="Times New Roman" w:eastAsia="Calibri" w:hAnsi="Times New Roman"/>
                <w:sz w:val="24"/>
                <w:szCs w:val="24"/>
                <w:lang w:eastAsia="en-US"/>
              </w:rPr>
              <w:t>цифровізації</w:t>
            </w:r>
            <w:proofErr w:type="spellEnd"/>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 xml:space="preserve">2.3.1.4.1. Розроблення довгострокового національного стратегічного плану цифрового розвитку, цифрових трансформацій і </w:t>
            </w:r>
            <w:proofErr w:type="spellStart"/>
            <w:r w:rsidRPr="00123A70">
              <w:rPr>
                <w:rFonts w:ascii="Times New Roman" w:eastAsia="Calibri" w:hAnsi="Times New Roman"/>
                <w:sz w:val="24"/>
                <w:szCs w:val="24"/>
                <w:lang w:eastAsia="en-US"/>
              </w:rPr>
              <w:t>цифровізації</w:t>
            </w:r>
            <w:proofErr w:type="spellEnd"/>
            <w:r w:rsidRPr="00123A70">
              <w:rPr>
                <w:rFonts w:ascii="Times New Roman" w:eastAsia="Calibri" w:hAnsi="Times New Roman"/>
                <w:sz w:val="24"/>
                <w:szCs w:val="24"/>
                <w:lang w:eastAsia="en-US"/>
              </w:rPr>
              <w:t xml:space="preserve"> Державної митної служби та її територіальних підрозділів на основі багаторічного стратегічного плану митниці ЄС (</w:t>
            </w:r>
            <w:proofErr w:type="spellStart"/>
            <w:r w:rsidRPr="00123A70">
              <w:rPr>
                <w:rFonts w:ascii="Times New Roman" w:eastAsia="Calibri" w:hAnsi="Times New Roman"/>
                <w:sz w:val="24"/>
                <w:szCs w:val="24"/>
                <w:lang w:eastAsia="en-US"/>
              </w:rPr>
              <w:t>multi-annual</w:t>
            </w:r>
            <w:proofErr w:type="spellEnd"/>
            <w:r w:rsidRPr="00123A70">
              <w:rPr>
                <w:rFonts w:ascii="Times New Roman" w:eastAsia="Calibri" w:hAnsi="Times New Roman"/>
                <w:sz w:val="24"/>
                <w:szCs w:val="24"/>
                <w:lang w:eastAsia="en-US"/>
              </w:rPr>
              <w:t xml:space="preserve"> </w:t>
            </w:r>
            <w:proofErr w:type="spellStart"/>
            <w:r w:rsidRPr="00123A70">
              <w:rPr>
                <w:rFonts w:ascii="Times New Roman" w:eastAsia="Calibri" w:hAnsi="Times New Roman"/>
                <w:sz w:val="24"/>
                <w:szCs w:val="24"/>
                <w:lang w:eastAsia="en-US"/>
              </w:rPr>
              <w:t>strategic</w:t>
            </w:r>
            <w:proofErr w:type="spellEnd"/>
            <w:r w:rsidRPr="00123A70">
              <w:rPr>
                <w:rFonts w:ascii="Times New Roman" w:eastAsia="Calibri" w:hAnsi="Times New Roman"/>
                <w:sz w:val="24"/>
                <w:szCs w:val="24"/>
                <w:lang w:eastAsia="en-US"/>
              </w:rPr>
              <w:t xml:space="preserve"> </w:t>
            </w:r>
            <w:proofErr w:type="spellStart"/>
            <w:r w:rsidRPr="00123A70">
              <w:rPr>
                <w:rFonts w:ascii="Times New Roman" w:eastAsia="Calibri" w:hAnsi="Times New Roman"/>
                <w:sz w:val="24"/>
                <w:szCs w:val="24"/>
                <w:lang w:eastAsia="en-US"/>
              </w:rPr>
              <w:t>plan</w:t>
            </w:r>
            <w:proofErr w:type="spellEnd"/>
            <w:r w:rsidRPr="00123A70">
              <w:rPr>
                <w:rFonts w:ascii="Times New Roman" w:eastAsia="Calibri" w:hAnsi="Times New Roman"/>
                <w:sz w:val="24"/>
                <w:szCs w:val="24"/>
                <w:lang w:eastAsia="en-US"/>
              </w:rPr>
              <w:t xml:space="preserve"> </w:t>
            </w:r>
            <w:proofErr w:type="spellStart"/>
            <w:r w:rsidRPr="00123A70">
              <w:rPr>
                <w:rFonts w:ascii="Times New Roman" w:eastAsia="Calibri" w:hAnsi="Times New Roman"/>
                <w:sz w:val="24"/>
                <w:szCs w:val="24"/>
                <w:lang w:eastAsia="en-US"/>
              </w:rPr>
              <w:t>for</w:t>
            </w:r>
            <w:proofErr w:type="spellEnd"/>
            <w:r w:rsidRPr="00123A70">
              <w:rPr>
                <w:rFonts w:ascii="Times New Roman" w:eastAsia="Calibri" w:hAnsi="Times New Roman"/>
                <w:sz w:val="24"/>
                <w:szCs w:val="24"/>
                <w:lang w:eastAsia="en-US"/>
              </w:rPr>
              <w:t xml:space="preserve"> </w:t>
            </w:r>
            <w:proofErr w:type="spellStart"/>
            <w:r w:rsidRPr="00123A70">
              <w:rPr>
                <w:rFonts w:ascii="Times New Roman" w:eastAsia="Calibri" w:hAnsi="Times New Roman"/>
                <w:sz w:val="24"/>
                <w:szCs w:val="24"/>
                <w:lang w:eastAsia="en-US"/>
              </w:rPr>
              <w:t>customs</w:t>
            </w:r>
            <w:proofErr w:type="spellEnd"/>
            <w:r w:rsidRPr="00123A70">
              <w:rPr>
                <w:rFonts w:ascii="Times New Roman" w:eastAsia="Calibri" w:hAnsi="Times New Roman"/>
                <w:sz w:val="24"/>
                <w:szCs w:val="24"/>
                <w:lang w:eastAsia="en-US"/>
              </w:rPr>
              <w:t>, MASP-C)</w:t>
            </w:r>
          </w:p>
        </w:tc>
        <w:tc>
          <w:tcPr>
            <w:tcW w:w="1265"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січень</w:t>
            </w:r>
            <w:r w:rsidRPr="00123A70">
              <w:rPr>
                <w:rFonts w:ascii="Times New Roman" w:eastAsia="Calibri" w:hAnsi="Times New Roman"/>
                <w:sz w:val="24"/>
                <w:szCs w:val="24"/>
                <w:lang w:eastAsia="en-US" w:bidi="uk-UA"/>
              </w:rPr>
              <w:br/>
              <w:t>2024 р.</w:t>
            </w:r>
          </w:p>
        </w:tc>
        <w:tc>
          <w:tcPr>
            <w:tcW w:w="236" w:type="dxa"/>
          </w:tcPr>
          <w:p w:rsidR="006C1578" w:rsidRPr="00123A70" w:rsidRDefault="006C1578" w:rsidP="00787924">
            <w:pPr>
              <w:spacing w:before="60" w:line="228" w:lineRule="auto"/>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tc>
        <w:tc>
          <w:tcPr>
            <w:tcW w:w="1589"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довгостроковий національний стратегічний план цифрового розвитку, цифрових трансформацій і </w:t>
            </w:r>
            <w:proofErr w:type="spellStart"/>
            <w:r w:rsidRPr="00123A70">
              <w:rPr>
                <w:rFonts w:ascii="Times New Roman" w:eastAsia="Calibri" w:hAnsi="Times New Roman"/>
                <w:sz w:val="24"/>
                <w:szCs w:val="24"/>
                <w:lang w:eastAsia="en-US" w:bidi="uk-UA"/>
              </w:rPr>
              <w:t>цифровізації</w:t>
            </w:r>
            <w:proofErr w:type="spellEnd"/>
            <w:r w:rsidRPr="00123A70">
              <w:rPr>
                <w:rFonts w:ascii="Times New Roman" w:eastAsia="Calibri" w:hAnsi="Times New Roman"/>
                <w:sz w:val="24"/>
                <w:szCs w:val="24"/>
                <w:lang w:eastAsia="en-US" w:bidi="uk-UA"/>
              </w:rPr>
              <w:t xml:space="preserve"> Держмитслужби розроблений та затверджений</w:t>
            </w:r>
          </w:p>
        </w:tc>
        <w:tc>
          <w:tcPr>
            <w:tcW w:w="2269"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 xml:space="preserve">офіційний веб-сайт Держмитслужби </w:t>
            </w:r>
          </w:p>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Мінфіну</w:t>
            </w:r>
          </w:p>
        </w:tc>
        <w:tc>
          <w:tcPr>
            <w:tcW w:w="2265" w:type="dxa"/>
          </w:tcPr>
          <w:p w:rsidR="006C1578" w:rsidRPr="00123A70" w:rsidRDefault="0029294F" w:rsidP="00787924">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 xml:space="preserve">Департамент з питань цифрового розвитку, цифрових трансформацій і </w:t>
            </w:r>
            <w:proofErr w:type="spellStart"/>
            <w:r>
              <w:rPr>
                <w:rFonts w:ascii="Times New Roman" w:eastAsia="Calibri" w:hAnsi="Times New Roman"/>
                <w:sz w:val="24"/>
                <w:szCs w:val="24"/>
                <w:lang w:eastAsia="en-US" w:bidi="uk-UA"/>
              </w:rPr>
              <w:t>цифровізації</w:t>
            </w:r>
            <w:proofErr w:type="spellEnd"/>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rPr>
            </w:pPr>
            <w:r w:rsidRPr="00123A70">
              <w:rPr>
                <w:rFonts w:ascii="Times New Roman" w:eastAsia="Calibri" w:hAnsi="Times New Roman"/>
                <w:sz w:val="24"/>
                <w:szCs w:val="24"/>
                <w:lang w:eastAsia="en-US"/>
              </w:rPr>
              <w:t xml:space="preserve">2.3.1.4.2. Здійснення заходів довгострокового національного стратегічного плану цифрового розвитку, цифрових трансформацій і </w:t>
            </w:r>
            <w:proofErr w:type="spellStart"/>
            <w:r w:rsidRPr="00123A70">
              <w:rPr>
                <w:rFonts w:ascii="Times New Roman" w:eastAsia="Calibri" w:hAnsi="Times New Roman"/>
                <w:sz w:val="24"/>
                <w:szCs w:val="24"/>
                <w:lang w:eastAsia="en-US"/>
              </w:rPr>
              <w:t>цифровізації</w:t>
            </w:r>
            <w:proofErr w:type="spellEnd"/>
            <w:r w:rsidRPr="00123A70">
              <w:rPr>
                <w:rFonts w:ascii="Times New Roman" w:eastAsia="Calibri" w:hAnsi="Times New Roman"/>
                <w:sz w:val="24"/>
                <w:szCs w:val="24"/>
                <w:lang w:eastAsia="en-US"/>
              </w:rPr>
              <w:t xml:space="preserve"> Державної митної служби та її територіальних підрозділів на основі MASP-С, строк здійснення яких завершується у строк дії Державної антикорупційної програми на 2023</w:t>
            </w:r>
            <w:r w:rsidRPr="00123A70">
              <w:rPr>
                <w:rFonts w:ascii="Times New Roman" w:eastAsia="Calibri" w:hAnsi="Times New Roman"/>
                <w:sz w:val="24"/>
                <w:szCs w:val="24"/>
                <w:lang w:eastAsia="uk-UA" w:bidi="uk-UA"/>
              </w:rPr>
              <w:t>—</w:t>
            </w:r>
            <w:r w:rsidRPr="00123A70">
              <w:rPr>
                <w:rFonts w:ascii="Times New Roman" w:eastAsia="Calibri" w:hAnsi="Times New Roman"/>
                <w:sz w:val="24"/>
                <w:szCs w:val="24"/>
                <w:lang w:eastAsia="en-US"/>
              </w:rPr>
              <w:t>2025 роки</w:t>
            </w:r>
          </w:p>
        </w:tc>
        <w:tc>
          <w:tcPr>
            <w:tcW w:w="1265"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січень</w:t>
            </w:r>
            <w:r w:rsidRPr="00123A70">
              <w:rPr>
                <w:rFonts w:ascii="Times New Roman" w:eastAsia="Calibri" w:hAnsi="Times New Roman"/>
                <w:sz w:val="24"/>
                <w:szCs w:val="24"/>
                <w:lang w:eastAsia="en-US" w:bidi="uk-UA"/>
              </w:rPr>
              <w:br/>
              <w:t>2024 р.</w:t>
            </w:r>
          </w:p>
        </w:tc>
        <w:tc>
          <w:tcPr>
            <w:tcW w:w="1955"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грудень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line="228" w:lineRule="auto"/>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tc>
        <w:tc>
          <w:tcPr>
            <w:tcW w:w="1589"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заходи довгострокового національного стратегічного плану цифрового розвитку, цифрових трансформацій і </w:t>
            </w:r>
            <w:proofErr w:type="spellStart"/>
            <w:r w:rsidRPr="00123A70">
              <w:rPr>
                <w:rFonts w:ascii="Times New Roman" w:eastAsia="Calibri" w:hAnsi="Times New Roman"/>
                <w:sz w:val="24"/>
                <w:szCs w:val="24"/>
                <w:lang w:eastAsia="en-US" w:bidi="uk-UA"/>
              </w:rPr>
              <w:t>цифровізації</w:t>
            </w:r>
            <w:proofErr w:type="spellEnd"/>
            <w:r w:rsidRPr="00123A70">
              <w:rPr>
                <w:rFonts w:ascii="Times New Roman" w:eastAsia="Calibri" w:hAnsi="Times New Roman"/>
                <w:sz w:val="24"/>
                <w:szCs w:val="24"/>
                <w:lang w:eastAsia="en-US" w:bidi="uk-UA"/>
              </w:rPr>
              <w:t xml:space="preserve"> Держмитслужби, строк здійснення яких завершується у строк дії Державної антикорупційної програми на 2023</w:t>
            </w:r>
            <w:r w:rsidRPr="00123A70">
              <w:rPr>
                <w:rFonts w:ascii="Times New Roman" w:eastAsia="Calibri" w:hAnsi="Times New Roman"/>
                <w:sz w:val="24"/>
                <w:szCs w:val="24"/>
                <w:lang w:eastAsia="uk-UA" w:bidi="uk-UA"/>
              </w:rPr>
              <w:t>—</w:t>
            </w:r>
            <w:r w:rsidRPr="00123A70">
              <w:rPr>
                <w:rFonts w:ascii="Times New Roman" w:eastAsia="Calibri" w:hAnsi="Times New Roman"/>
                <w:sz w:val="24"/>
                <w:szCs w:val="24"/>
                <w:lang w:eastAsia="uk-UA" w:bidi="uk-UA"/>
              </w:rPr>
              <w:br/>
            </w:r>
            <w:r w:rsidRPr="00123A70">
              <w:rPr>
                <w:rFonts w:ascii="Times New Roman" w:eastAsia="Calibri" w:hAnsi="Times New Roman"/>
                <w:sz w:val="24"/>
                <w:szCs w:val="24"/>
                <w:lang w:eastAsia="en-US" w:bidi="uk-UA"/>
              </w:rPr>
              <w:t>2025 роки, виконано</w:t>
            </w:r>
          </w:p>
        </w:tc>
        <w:tc>
          <w:tcPr>
            <w:tcW w:w="2269"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Мінфіну</w:t>
            </w:r>
          </w:p>
        </w:tc>
        <w:tc>
          <w:tcPr>
            <w:tcW w:w="2265" w:type="dxa"/>
          </w:tcPr>
          <w:p w:rsidR="006C1578" w:rsidRPr="00123A70" w:rsidRDefault="00766E3E" w:rsidP="0029294F">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 xml:space="preserve">Департамент з питань цифрового розвитку, цифрових трансформацій і </w:t>
            </w:r>
            <w:proofErr w:type="spellStart"/>
            <w:r>
              <w:rPr>
                <w:rFonts w:ascii="Times New Roman" w:eastAsia="Calibri" w:hAnsi="Times New Roman"/>
                <w:sz w:val="24"/>
                <w:szCs w:val="24"/>
                <w:lang w:eastAsia="en-US" w:bidi="uk-UA"/>
              </w:rPr>
              <w:t>ци</w:t>
            </w:r>
            <w:r w:rsidR="0029294F">
              <w:rPr>
                <w:rFonts w:ascii="Times New Roman" w:eastAsia="Calibri" w:hAnsi="Times New Roman"/>
                <w:sz w:val="24"/>
                <w:szCs w:val="24"/>
                <w:lang w:eastAsia="en-US" w:bidi="uk-UA"/>
              </w:rPr>
              <w:t>ф</w:t>
            </w:r>
            <w:r>
              <w:rPr>
                <w:rFonts w:ascii="Times New Roman" w:eastAsia="Calibri" w:hAnsi="Times New Roman"/>
                <w:sz w:val="24"/>
                <w:szCs w:val="24"/>
                <w:lang w:eastAsia="en-US" w:bidi="uk-UA"/>
              </w:rPr>
              <w:t>ровізації</w:t>
            </w:r>
            <w:proofErr w:type="spellEnd"/>
          </w:p>
        </w:tc>
      </w:tr>
      <w:tr w:rsidR="006C1578" w:rsidRPr="00123A70" w:rsidTr="004B0178">
        <w:trPr>
          <w:trHeight w:val="230"/>
        </w:trPr>
        <w:tc>
          <w:tcPr>
            <w:tcW w:w="17565" w:type="dxa"/>
            <w:gridSpan w:val="14"/>
          </w:tcPr>
          <w:p w:rsidR="006C1578" w:rsidRDefault="006C1578" w:rsidP="00787924">
            <w:pPr>
              <w:spacing w:before="60"/>
              <w:jc w:val="both"/>
              <w:rPr>
                <w:rFonts w:ascii="Times New Roman" w:eastAsia="Calibri" w:hAnsi="Times New Roman"/>
                <w:sz w:val="24"/>
                <w:szCs w:val="24"/>
                <w:lang w:eastAsia="en-US"/>
              </w:rPr>
            </w:pPr>
          </w:p>
          <w:p w:rsidR="006C1578" w:rsidRPr="00123A70" w:rsidRDefault="006C1578" w:rsidP="00787924">
            <w:pPr>
              <w:spacing w:before="60"/>
              <w:jc w:val="both"/>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Очікуваний стратегічний результат 2.3.1.5. Під час розроблення та вжиття заходів із запобігання корупції у митних органах налагоджено ефективну співпрацю з громадськістю та бізнес–асоціаціями, а також регулярний моніторинг роботи митних органів шляхом проведення періодичних опитувань підприємців та працівників митних органів</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2.3.1.5.</w:t>
            </w:r>
            <w:r w:rsidRPr="00123A70">
              <w:rPr>
                <w:rFonts w:ascii="Times New Roman" w:eastAsia="Calibri" w:hAnsi="Times New Roman"/>
                <w:sz w:val="24"/>
                <w:szCs w:val="24"/>
                <w:lang w:eastAsia="en-US" w:bidi="uk-UA"/>
              </w:rPr>
              <w:t>1. Здійснення оцінки корупційних ризиків з обов’язковим залученням громадськості, зокрема, антикорупційних громадських організацій та бізнес-асоціацій</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квітень</w:t>
            </w:r>
            <w:r w:rsidRPr="00123A70">
              <w:rPr>
                <w:rFonts w:ascii="Times New Roman" w:eastAsia="Calibri" w:hAnsi="Times New Roman"/>
                <w:sz w:val="24"/>
                <w:szCs w:val="24"/>
                <w:lang w:eastAsia="en-US" w:bidi="uk-UA"/>
              </w:rPr>
              <w:br/>
              <w:t>2023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оприлюднено звіт за результатами оцінки ризиків</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6C1578" w:rsidRPr="00123A70" w:rsidRDefault="009E3605" w:rsidP="00787924">
            <w:pPr>
              <w:spacing w:before="60"/>
              <w:rPr>
                <w:rFonts w:ascii="Times New Roman" w:eastAsia="Calibri" w:hAnsi="Times New Roman"/>
                <w:sz w:val="24"/>
                <w:szCs w:val="24"/>
                <w:lang w:eastAsia="en-US" w:bidi="uk-UA"/>
              </w:rPr>
            </w:pPr>
            <w:r w:rsidRPr="009E3605">
              <w:rPr>
                <w:rFonts w:ascii="Times New Roman" w:eastAsia="Calibri" w:hAnsi="Times New Roman"/>
                <w:sz w:val="24"/>
                <w:szCs w:val="24"/>
                <w:lang w:eastAsia="en-US" w:bidi="uk-UA"/>
              </w:rPr>
              <w:t xml:space="preserve">Управління з питань запобігання та виявлення корупції </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2.3.1.5.</w:t>
            </w:r>
            <w:r w:rsidRPr="00123A70">
              <w:rPr>
                <w:rFonts w:ascii="Times New Roman" w:eastAsia="Calibri" w:hAnsi="Times New Roman"/>
                <w:sz w:val="24"/>
                <w:szCs w:val="24"/>
                <w:lang w:eastAsia="en-US" w:bidi="uk-UA"/>
              </w:rPr>
              <w:t>2. Розроблення проекту антикорупційної програми Держмитслужби з обов’язковим залученням громадськості, зокрема антикорупційних громадських організацій та бізнес-асоціацій, та її погодження з громадською радою</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квітень</w:t>
            </w:r>
            <w:r w:rsidRPr="00123A70">
              <w:rPr>
                <w:rFonts w:ascii="Times New Roman" w:eastAsia="Calibri" w:hAnsi="Times New Roman"/>
                <w:sz w:val="24"/>
                <w:szCs w:val="24"/>
                <w:lang w:eastAsia="en-US" w:bidi="uk-UA"/>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травень</w:t>
            </w:r>
            <w:r w:rsidRPr="00123A70">
              <w:rPr>
                <w:rFonts w:ascii="Times New Roman" w:eastAsia="Calibri" w:hAnsi="Times New Roman"/>
                <w:sz w:val="24"/>
                <w:szCs w:val="24"/>
                <w:lang w:eastAsia="en-US" w:bidi="uk-UA"/>
              </w:rPr>
              <w:br/>
              <w:t>2023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антикорупційну програму затверджено</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6C1578" w:rsidRPr="00123A70" w:rsidRDefault="009E3605" w:rsidP="00787924">
            <w:pPr>
              <w:spacing w:before="60"/>
              <w:rPr>
                <w:rFonts w:ascii="Times New Roman" w:eastAsia="Calibri" w:hAnsi="Times New Roman"/>
                <w:sz w:val="24"/>
                <w:szCs w:val="24"/>
                <w:lang w:eastAsia="en-US" w:bidi="uk-UA"/>
              </w:rPr>
            </w:pPr>
            <w:r w:rsidRPr="009E3605">
              <w:rPr>
                <w:rFonts w:ascii="Times New Roman" w:eastAsia="Calibri" w:hAnsi="Times New Roman"/>
                <w:sz w:val="24"/>
                <w:szCs w:val="24"/>
                <w:lang w:eastAsia="en-US" w:bidi="uk-UA"/>
              </w:rPr>
              <w:t xml:space="preserve">Управління з питань запобігання та виявлення корупції </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2.3.1.5.</w:t>
            </w:r>
            <w:r w:rsidRPr="00123A70">
              <w:rPr>
                <w:rFonts w:ascii="Times New Roman" w:eastAsia="Calibri" w:hAnsi="Times New Roman"/>
                <w:sz w:val="24"/>
                <w:szCs w:val="24"/>
                <w:lang w:eastAsia="en-US" w:bidi="uk-UA"/>
              </w:rPr>
              <w:t xml:space="preserve">3. Здійснення заходів, передбачених антикорупційною програмою, зазначеною у </w:t>
            </w:r>
            <w:r w:rsidRPr="00123A70">
              <w:rPr>
                <w:rFonts w:ascii="Times New Roman" w:eastAsia="Calibri" w:hAnsi="Times New Roman"/>
                <w:sz w:val="24"/>
                <w:szCs w:val="24"/>
                <w:lang w:eastAsia="en-US" w:bidi="uk-UA"/>
              </w:rPr>
              <w:br/>
              <w:t xml:space="preserve">підпункті </w:t>
            </w:r>
            <w:r w:rsidRPr="00123A70">
              <w:rPr>
                <w:rFonts w:ascii="Times New Roman" w:eastAsia="Calibri" w:hAnsi="Times New Roman"/>
                <w:sz w:val="24"/>
                <w:szCs w:val="24"/>
                <w:lang w:eastAsia="en-US"/>
              </w:rPr>
              <w:t>2.3.1.5.</w:t>
            </w:r>
            <w:r w:rsidRPr="00123A70">
              <w:rPr>
                <w:rFonts w:ascii="Times New Roman" w:eastAsia="Calibri" w:hAnsi="Times New Roman"/>
                <w:sz w:val="24"/>
                <w:szCs w:val="24"/>
                <w:lang w:eastAsia="en-US" w:bidi="uk-UA"/>
              </w:rPr>
              <w:t>2, а також інших заходів із запобігання корупції у митних органах з обов’язковим залученням громадськості, зокрема бізнес-асоціацій та громадської ради при Держмитслужбі</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травень</w:t>
            </w:r>
            <w:r w:rsidRPr="00123A70">
              <w:rPr>
                <w:rFonts w:ascii="Times New Roman" w:eastAsia="Calibri" w:hAnsi="Times New Roman"/>
                <w:sz w:val="24"/>
                <w:szCs w:val="24"/>
                <w:lang w:eastAsia="en-US" w:bidi="uk-UA"/>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грудень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антикорупційну програму виконано</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9A5798" w:rsidRDefault="009E3605" w:rsidP="00787924">
            <w:pPr>
              <w:spacing w:before="60"/>
              <w:rPr>
                <w:rFonts w:ascii="Times New Roman" w:eastAsia="Calibri" w:hAnsi="Times New Roman"/>
                <w:sz w:val="24"/>
                <w:szCs w:val="24"/>
                <w:lang w:eastAsia="en-US" w:bidi="uk-UA"/>
              </w:rPr>
            </w:pPr>
            <w:r w:rsidRPr="009E3605">
              <w:rPr>
                <w:rFonts w:ascii="Times New Roman" w:eastAsia="Calibri" w:hAnsi="Times New Roman"/>
                <w:sz w:val="24"/>
                <w:szCs w:val="24"/>
                <w:lang w:eastAsia="en-US" w:bidi="uk-UA"/>
              </w:rPr>
              <w:t xml:space="preserve">Управління з питань запобігання та виявлення корупції </w:t>
            </w:r>
            <w:r w:rsidR="009A5798">
              <w:rPr>
                <w:rFonts w:ascii="Times New Roman" w:eastAsia="Calibri" w:hAnsi="Times New Roman"/>
                <w:sz w:val="24"/>
                <w:szCs w:val="24"/>
                <w:lang w:eastAsia="en-US" w:bidi="uk-UA"/>
              </w:rPr>
              <w:t>Структурні підрозділи апарату Держмитслужби</w:t>
            </w:r>
          </w:p>
          <w:p w:rsidR="006B5375" w:rsidRPr="00123A70" w:rsidRDefault="006B5375"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Митниці</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2.3.1.5.</w:t>
            </w:r>
            <w:r w:rsidRPr="00123A70">
              <w:rPr>
                <w:rFonts w:ascii="Times New Roman" w:eastAsia="Calibri" w:hAnsi="Times New Roman"/>
                <w:bCs/>
                <w:sz w:val="24"/>
                <w:szCs w:val="24"/>
                <w:lang w:eastAsia="en-US" w:bidi="uk-UA"/>
              </w:rPr>
              <w:t>4. Щорічне оприлюднення інформації про результати залучення антикорупційних громадських організацій та представників бізнесу</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грудень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перелік врахованих та не врахованих з обґрунтуванням причин пропозицій громадськості до антикорупційної програми та перелік і результати заходів під час впровадження антикорупційної програми, які були здійснені за участю громадськості та представників бізнесу, оприлюднено</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4E4048" w:rsidRDefault="009E3605" w:rsidP="00787924">
            <w:pPr>
              <w:spacing w:before="60"/>
              <w:rPr>
                <w:rFonts w:ascii="Times New Roman" w:eastAsia="Calibri" w:hAnsi="Times New Roman"/>
                <w:sz w:val="24"/>
                <w:szCs w:val="24"/>
                <w:lang w:eastAsia="en-US" w:bidi="uk-UA"/>
              </w:rPr>
            </w:pPr>
            <w:r w:rsidRPr="009E3605">
              <w:rPr>
                <w:rFonts w:ascii="Times New Roman" w:eastAsia="Calibri" w:hAnsi="Times New Roman"/>
                <w:sz w:val="24"/>
                <w:szCs w:val="24"/>
                <w:lang w:eastAsia="en-US" w:bidi="uk-UA"/>
              </w:rPr>
              <w:t xml:space="preserve">Управління з питань запобігання та виявлення корупції </w:t>
            </w:r>
          </w:p>
          <w:p w:rsidR="0029294F" w:rsidRPr="00123A70" w:rsidRDefault="0029294F"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Відділ прес-служби та взаємодії з громадськістю</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2.3.1.5.</w:t>
            </w:r>
            <w:r w:rsidRPr="00123A70">
              <w:rPr>
                <w:rFonts w:ascii="Times New Roman" w:eastAsia="Calibri" w:hAnsi="Times New Roman"/>
                <w:sz w:val="24"/>
                <w:szCs w:val="24"/>
                <w:lang w:eastAsia="en-US" w:bidi="uk-UA"/>
              </w:rPr>
              <w:t>5. Забезпечення щорічного проведення громадською радою при Держмитслужбі незалежного анонімного опитування посадових осіб митних органів щодо ефективності роботи митних органів, проблемних аспектів, що виникають у процесі їх роботи, а також шляхів розв’язання наявних проблем</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січень</w:t>
            </w:r>
            <w:r w:rsidRPr="00123A70">
              <w:rPr>
                <w:rFonts w:ascii="Times New Roman" w:eastAsia="Calibri" w:hAnsi="Times New Roman"/>
                <w:sz w:val="24"/>
                <w:szCs w:val="24"/>
                <w:lang w:eastAsia="en-US" w:bidi="uk-UA"/>
              </w:rPr>
              <w:br/>
              <w:t>2024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грудень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Рада громадського контролю при Держмитслужбі (за згодою)</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щорічне опитування проведено та його результати оприлюднено </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6C1578" w:rsidRPr="00123A70" w:rsidRDefault="0029294F"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Відділ прес-служби та взаємодії з громадськістю</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2.3.1.5.</w:t>
            </w:r>
            <w:r w:rsidRPr="00123A70">
              <w:rPr>
                <w:rFonts w:ascii="Times New Roman" w:eastAsia="Calibri" w:hAnsi="Times New Roman"/>
                <w:sz w:val="24"/>
                <w:szCs w:val="24"/>
                <w:lang w:eastAsia="en-US" w:bidi="uk-UA"/>
              </w:rPr>
              <w:t xml:space="preserve">6. Забезпечення щорічного опитування підприємців громадською радою при Держмитслужбі та бізнес-асоціаціями, в якому досліджується ефективність їх співпраці з митними органами, проблеми, що виникають в процесі взаємодії, та шляхи їх розв’язання </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січень</w:t>
            </w:r>
            <w:r w:rsidRPr="00123A70">
              <w:rPr>
                <w:rFonts w:ascii="Times New Roman" w:eastAsia="Calibri" w:hAnsi="Times New Roman"/>
                <w:sz w:val="24"/>
                <w:szCs w:val="24"/>
                <w:lang w:eastAsia="en-US" w:bidi="uk-UA"/>
              </w:rPr>
              <w:br/>
              <w:t>2024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грудень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Рада громадського контролю при Держмитслужбі (за згодою)</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щорічне опитування проведено та його результати оприлюднено </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6C1578" w:rsidRPr="00123A70" w:rsidRDefault="0029294F"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Відділ прес-служби та взаємодії з громадськістю</w:t>
            </w: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en-US"/>
              </w:rPr>
            </w:pPr>
            <w:r w:rsidRPr="00123A70">
              <w:rPr>
                <w:rFonts w:ascii="Times New Roman" w:eastAsia="Calibri" w:hAnsi="Times New Roman"/>
                <w:sz w:val="24"/>
                <w:szCs w:val="24"/>
                <w:lang w:eastAsia="en-US" w:bidi="uk-UA"/>
              </w:rPr>
              <w:t xml:space="preserve">Проблема 2.3.2. </w:t>
            </w:r>
            <w:r w:rsidRPr="00123A70">
              <w:rPr>
                <w:rFonts w:ascii="Times New Roman" w:eastAsia="Calibri" w:hAnsi="Times New Roman"/>
                <w:sz w:val="24"/>
                <w:szCs w:val="24"/>
                <w:lang w:eastAsia="en-US"/>
              </w:rPr>
              <w:t>Непрозорість підходів у класифікації товарів, визначенні їх митної вартості та призначенні перевірок</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bidi="uk-UA"/>
              </w:rPr>
            </w:pP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Очікуваний стратегічний результат 2.3.2.1. Створено умови для отримання Україною попередньої митної інформації від митних органів країн Європейського Союзу щодо товарів, що є об’єктами експорту в Україну з їх територій</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2.3.2.1.1. </w:t>
            </w:r>
            <w:r w:rsidRPr="00123A70">
              <w:rPr>
                <w:rFonts w:ascii="Times New Roman" w:eastAsia="Calibri" w:hAnsi="Times New Roman"/>
                <w:bCs/>
                <w:sz w:val="24"/>
                <w:szCs w:val="24"/>
                <w:lang w:eastAsia="en-US" w:bidi="uk-UA"/>
              </w:rPr>
              <w:t>Проведення моніторингу застосування міжнародної комп’ютеризованої системи транзиту (далі – NCTS)</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грудень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звіт за результатами щорічного моніторингу оприлюднено</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2265" w:type="dxa"/>
          </w:tcPr>
          <w:p w:rsidR="006C1578" w:rsidRPr="00123A70" w:rsidRDefault="009E3605" w:rsidP="00787924">
            <w:pPr>
              <w:spacing w:before="60"/>
              <w:rPr>
                <w:rFonts w:ascii="Times New Roman" w:eastAsia="Calibri" w:hAnsi="Times New Roman"/>
                <w:sz w:val="24"/>
                <w:szCs w:val="24"/>
                <w:lang w:eastAsia="en-US" w:bidi="uk-UA"/>
              </w:rPr>
            </w:pPr>
            <w:r w:rsidRPr="009E3605">
              <w:rPr>
                <w:rFonts w:ascii="Times New Roman" w:eastAsia="Calibri" w:hAnsi="Times New Roman"/>
                <w:sz w:val="24"/>
                <w:szCs w:val="24"/>
                <w:lang w:eastAsia="en-US" w:bidi="uk-UA"/>
              </w:rPr>
              <w:t xml:space="preserve">Департамент транзитних процедур </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2.3.2.1.2. Забезпечення розроблення та розгортання NCTS (фаза 5)</w:t>
            </w:r>
          </w:p>
        </w:tc>
        <w:tc>
          <w:tcPr>
            <w:tcW w:w="1265"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лютий </w:t>
            </w:r>
            <w:r w:rsidRPr="00123A70">
              <w:rPr>
                <w:rFonts w:ascii="Times New Roman" w:eastAsia="Calibri" w:hAnsi="Times New Roman"/>
                <w:sz w:val="24"/>
                <w:szCs w:val="24"/>
                <w:lang w:eastAsia="en-US" w:bidi="uk-UA"/>
              </w:rPr>
              <w:br/>
              <w:t>2024 р.</w:t>
            </w:r>
          </w:p>
        </w:tc>
        <w:tc>
          <w:tcPr>
            <w:tcW w:w="236" w:type="dxa"/>
          </w:tcPr>
          <w:p w:rsidR="006C1578" w:rsidRPr="00123A70" w:rsidRDefault="006C1578" w:rsidP="00787924">
            <w:pPr>
              <w:spacing w:before="60" w:line="228" w:lineRule="auto"/>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NCTS (фаза 5) застосовується</w:t>
            </w:r>
          </w:p>
        </w:tc>
        <w:tc>
          <w:tcPr>
            <w:tcW w:w="2269"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Держмитслужба</w:t>
            </w:r>
          </w:p>
        </w:tc>
        <w:tc>
          <w:tcPr>
            <w:tcW w:w="2265" w:type="dxa"/>
          </w:tcPr>
          <w:p w:rsidR="006B5375" w:rsidRDefault="009E3605" w:rsidP="006B5375">
            <w:pPr>
              <w:spacing w:before="60" w:line="228" w:lineRule="auto"/>
              <w:rPr>
                <w:rFonts w:ascii="Times New Roman" w:eastAsia="Calibri" w:hAnsi="Times New Roman"/>
                <w:sz w:val="24"/>
                <w:szCs w:val="24"/>
                <w:lang w:eastAsia="en-US" w:bidi="uk-UA"/>
              </w:rPr>
            </w:pPr>
            <w:r w:rsidRPr="009E3605">
              <w:rPr>
                <w:rFonts w:ascii="Times New Roman" w:eastAsia="Calibri" w:hAnsi="Times New Roman"/>
                <w:sz w:val="24"/>
                <w:szCs w:val="24"/>
                <w:lang w:eastAsia="en-US" w:bidi="uk-UA"/>
              </w:rPr>
              <w:t xml:space="preserve">Департамент транзитних процедур </w:t>
            </w:r>
            <w:r w:rsidR="006B5375">
              <w:rPr>
                <w:rFonts w:ascii="Times New Roman" w:eastAsia="Calibri" w:hAnsi="Times New Roman"/>
                <w:sz w:val="24"/>
                <w:szCs w:val="24"/>
                <w:lang w:eastAsia="en-US" w:bidi="uk-UA"/>
              </w:rPr>
              <w:t xml:space="preserve">Департамент з питань цифрового розвитку, цифрових трансформацій і </w:t>
            </w:r>
            <w:proofErr w:type="spellStart"/>
            <w:r w:rsidR="006B5375">
              <w:rPr>
                <w:rFonts w:ascii="Times New Roman" w:eastAsia="Calibri" w:hAnsi="Times New Roman"/>
                <w:sz w:val="24"/>
                <w:szCs w:val="24"/>
                <w:lang w:eastAsia="en-US" w:bidi="uk-UA"/>
              </w:rPr>
              <w:t>цифровізації</w:t>
            </w:r>
            <w:proofErr w:type="spellEnd"/>
          </w:p>
          <w:p w:rsidR="006B5375" w:rsidRDefault="006B5375" w:rsidP="0029294F">
            <w:pPr>
              <w:spacing w:before="60" w:line="228" w:lineRule="auto"/>
              <w:rPr>
                <w:rFonts w:ascii="Times New Roman" w:eastAsia="Calibri" w:hAnsi="Times New Roman"/>
                <w:sz w:val="24"/>
                <w:szCs w:val="24"/>
                <w:lang w:eastAsia="en-US" w:bidi="uk-UA"/>
              </w:rPr>
            </w:pPr>
          </w:p>
          <w:p w:rsidR="006C1578" w:rsidRPr="00123A70" w:rsidRDefault="006C1578" w:rsidP="00787924">
            <w:pPr>
              <w:spacing w:before="60" w:line="228" w:lineRule="auto"/>
              <w:rPr>
                <w:rFonts w:ascii="Times New Roman" w:eastAsia="Calibri" w:hAnsi="Times New Roman"/>
                <w:sz w:val="24"/>
                <w:szCs w:val="24"/>
                <w:lang w:eastAsia="en-US" w:bidi="uk-UA"/>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2.3.2.1.3. Забезпечення розроблення та розгортання NCTS (фаза 6)</w:t>
            </w:r>
          </w:p>
        </w:tc>
        <w:tc>
          <w:tcPr>
            <w:tcW w:w="1265" w:type="dxa"/>
            <w:hideMark/>
          </w:tcPr>
          <w:p w:rsidR="006C1578" w:rsidRPr="00123A70" w:rsidRDefault="004E4048" w:rsidP="00787924">
            <w:pPr>
              <w:spacing w:before="60" w:line="228" w:lineRule="auto"/>
              <w:rPr>
                <w:rFonts w:ascii="Times New Roman" w:eastAsia="Calibri" w:hAnsi="Times New Roman"/>
                <w:sz w:val="24"/>
                <w:szCs w:val="24"/>
                <w:lang w:eastAsia="uk-UA" w:bidi="uk-UA"/>
              </w:rPr>
            </w:pPr>
            <w:r>
              <w:rPr>
                <w:rFonts w:ascii="Times New Roman" w:eastAsia="Calibri" w:hAnsi="Times New Roman"/>
                <w:sz w:val="24"/>
                <w:szCs w:val="24"/>
                <w:lang w:eastAsia="en-US" w:bidi="uk-UA"/>
              </w:rPr>
              <w:t>лютий</w:t>
            </w:r>
            <w:r>
              <w:rPr>
                <w:rFonts w:ascii="Times New Roman" w:eastAsia="Calibri" w:hAnsi="Times New Roman"/>
                <w:sz w:val="24"/>
                <w:szCs w:val="24"/>
                <w:lang w:eastAsia="en-US" w:bidi="uk-UA"/>
              </w:rPr>
              <w:br/>
              <w:t>2025</w:t>
            </w:r>
            <w:r w:rsidR="006C1578" w:rsidRPr="00123A70">
              <w:rPr>
                <w:rFonts w:ascii="Times New Roman" w:eastAsia="Calibri" w:hAnsi="Times New Roman"/>
                <w:sz w:val="24"/>
                <w:szCs w:val="24"/>
                <w:lang w:eastAsia="en-US" w:bidi="uk-UA"/>
              </w:rPr>
              <w:t xml:space="preserve"> р.</w:t>
            </w:r>
          </w:p>
        </w:tc>
        <w:tc>
          <w:tcPr>
            <w:tcW w:w="1955" w:type="dxa"/>
            <w:gridSpan w:val="2"/>
            <w:hideMark/>
          </w:tcPr>
          <w:p w:rsidR="006C1578" w:rsidRPr="00123A70" w:rsidRDefault="004E4048" w:rsidP="00787924">
            <w:pPr>
              <w:spacing w:before="60" w:line="228" w:lineRule="auto"/>
              <w:rPr>
                <w:rFonts w:ascii="Times New Roman" w:eastAsia="Calibri" w:hAnsi="Times New Roman"/>
                <w:sz w:val="24"/>
                <w:szCs w:val="24"/>
                <w:lang w:eastAsia="uk-UA" w:bidi="uk-UA"/>
              </w:rPr>
            </w:pPr>
            <w:r w:rsidRPr="004E4048">
              <w:rPr>
                <w:rFonts w:ascii="Times New Roman" w:eastAsia="Calibri" w:hAnsi="Times New Roman"/>
                <w:sz w:val="24"/>
                <w:szCs w:val="24"/>
                <w:lang w:eastAsia="en-US" w:bidi="uk-UA"/>
              </w:rPr>
              <w:t>кінцева дата переходу країн-учасниць Конвенції про процедуру спільного транзиту до NCTS P6, встановлена Генеральним директоратом з питань оподаткування та Митного Союзу Єврокомісії (DG TAXUD)</w:t>
            </w:r>
          </w:p>
        </w:tc>
        <w:tc>
          <w:tcPr>
            <w:tcW w:w="236" w:type="dxa"/>
          </w:tcPr>
          <w:p w:rsidR="006C1578" w:rsidRPr="00123A70" w:rsidRDefault="006C1578" w:rsidP="00787924">
            <w:pPr>
              <w:spacing w:before="60" w:line="228" w:lineRule="auto"/>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NCTS (фаза 6) застосовується</w:t>
            </w:r>
          </w:p>
        </w:tc>
        <w:tc>
          <w:tcPr>
            <w:tcW w:w="2269"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Держмитслужба</w:t>
            </w:r>
          </w:p>
        </w:tc>
        <w:tc>
          <w:tcPr>
            <w:tcW w:w="2265" w:type="dxa"/>
          </w:tcPr>
          <w:p w:rsidR="006B5375" w:rsidRDefault="009E3605" w:rsidP="006B5375">
            <w:pPr>
              <w:spacing w:before="60" w:line="228" w:lineRule="auto"/>
              <w:rPr>
                <w:rFonts w:ascii="Times New Roman" w:eastAsia="Calibri" w:hAnsi="Times New Roman"/>
                <w:sz w:val="24"/>
                <w:szCs w:val="24"/>
                <w:lang w:eastAsia="en-US" w:bidi="uk-UA"/>
              </w:rPr>
            </w:pPr>
            <w:r w:rsidRPr="009E3605">
              <w:rPr>
                <w:rFonts w:ascii="Times New Roman" w:eastAsia="Calibri" w:hAnsi="Times New Roman"/>
                <w:sz w:val="24"/>
                <w:szCs w:val="24"/>
                <w:lang w:eastAsia="en-US" w:bidi="uk-UA"/>
              </w:rPr>
              <w:t xml:space="preserve">Департамент транзитних процедур </w:t>
            </w:r>
            <w:r w:rsidR="006B5375">
              <w:rPr>
                <w:rFonts w:ascii="Times New Roman" w:eastAsia="Calibri" w:hAnsi="Times New Roman"/>
                <w:sz w:val="24"/>
                <w:szCs w:val="24"/>
                <w:lang w:eastAsia="en-US" w:bidi="uk-UA"/>
              </w:rPr>
              <w:t xml:space="preserve">Департамент з питань цифрового розвитку, цифрових трансформацій і </w:t>
            </w:r>
            <w:proofErr w:type="spellStart"/>
            <w:r w:rsidR="006B5375">
              <w:rPr>
                <w:rFonts w:ascii="Times New Roman" w:eastAsia="Calibri" w:hAnsi="Times New Roman"/>
                <w:sz w:val="24"/>
                <w:szCs w:val="24"/>
                <w:lang w:eastAsia="en-US" w:bidi="uk-UA"/>
              </w:rPr>
              <w:t>цифровізації</w:t>
            </w:r>
            <w:proofErr w:type="spellEnd"/>
          </w:p>
          <w:p w:rsidR="006C1578" w:rsidRPr="00123A70" w:rsidRDefault="006C1578" w:rsidP="00787924">
            <w:pPr>
              <w:spacing w:before="60" w:line="228" w:lineRule="auto"/>
              <w:rPr>
                <w:rFonts w:ascii="Times New Roman" w:eastAsia="Calibri" w:hAnsi="Times New Roman"/>
                <w:sz w:val="24"/>
                <w:szCs w:val="24"/>
                <w:lang w:eastAsia="en-US" w:bidi="uk-UA"/>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2.3.2.1.4. Розроблення та подання Кабінетові Міністрів України проекту закону, відповідно до якого положення Митного кодексу України в</w:t>
            </w:r>
            <w:r w:rsidRPr="00123A70">
              <w:rPr>
                <w:rFonts w:ascii="Times New Roman" w:eastAsia="Calibri" w:hAnsi="Times New Roman"/>
                <w:sz w:val="24"/>
                <w:szCs w:val="24"/>
                <w:lang w:eastAsia="en-US"/>
              </w:rPr>
              <w:t xml:space="preserve"> редакції Закону України від 15 серпня 2022 р. № 2510-ІХ “Про внесення змін до Митного кодексу України та інших законів України щодо деяких питань виконання глави 5 розділу IV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що стосуються використання електронної транзитної системи, електронної системи управління гарантіями та їх складових,</w:t>
            </w:r>
            <w:r w:rsidRPr="00123A70">
              <w:rPr>
                <w:rFonts w:ascii="Times New Roman" w:eastAsia="Calibri" w:hAnsi="Times New Roman"/>
                <w:sz w:val="24"/>
                <w:szCs w:val="24"/>
                <w:lang w:eastAsia="en-US" w:bidi="uk-UA"/>
              </w:rPr>
              <w:t xml:space="preserve"> </w:t>
            </w:r>
            <w:r w:rsidRPr="00123A70">
              <w:rPr>
                <w:rFonts w:ascii="Times New Roman" w:eastAsia="Calibri" w:hAnsi="Times New Roman"/>
                <w:sz w:val="24"/>
                <w:szCs w:val="24"/>
                <w:lang w:eastAsia="en-US"/>
              </w:rPr>
              <w:t>доповнені положеннями щодо запровадження систем контролю імпорту та експорту, сумісних з тими, що використовуються в ЄС</w:t>
            </w:r>
          </w:p>
        </w:tc>
        <w:tc>
          <w:tcPr>
            <w:tcW w:w="1265"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січень</w:t>
            </w:r>
            <w:r w:rsidRPr="00123A70">
              <w:rPr>
                <w:rFonts w:ascii="Times New Roman" w:eastAsia="Calibri" w:hAnsi="Times New Roman"/>
                <w:sz w:val="24"/>
                <w:szCs w:val="24"/>
                <w:lang w:eastAsia="en-US" w:bidi="uk-UA"/>
              </w:rPr>
              <w:br/>
              <w:t>2024 р.</w:t>
            </w:r>
          </w:p>
        </w:tc>
        <w:tc>
          <w:tcPr>
            <w:tcW w:w="1955"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серпень</w:t>
            </w:r>
            <w:r w:rsidRPr="00123A70">
              <w:rPr>
                <w:rFonts w:ascii="Times New Roman" w:eastAsia="Calibri" w:hAnsi="Times New Roman"/>
                <w:sz w:val="24"/>
                <w:szCs w:val="24"/>
                <w:lang w:eastAsia="en-US" w:bidi="uk-UA"/>
              </w:rPr>
              <w:br/>
              <w:t>2024 р.</w:t>
            </w:r>
          </w:p>
        </w:tc>
        <w:tc>
          <w:tcPr>
            <w:tcW w:w="236" w:type="dxa"/>
          </w:tcPr>
          <w:p w:rsidR="006C1578" w:rsidRPr="00123A70" w:rsidRDefault="006C1578" w:rsidP="00787924">
            <w:pPr>
              <w:spacing w:before="60" w:line="228" w:lineRule="auto"/>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проект закону подано до Верховної Ради України</w:t>
            </w:r>
          </w:p>
        </w:tc>
        <w:tc>
          <w:tcPr>
            <w:tcW w:w="2269"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офіційний веб-сайт Верховної Ради України</w:t>
            </w:r>
          </w:p>
        </w:tc>
        <w:tc>
          <w:tcPr>
            <w:tcW w:w="2265" w:type="dxa"/>
          </w:tcPr>
          <w:p w:rsidR="006C1578" w:rsidRDefault="009E3605" w:rsidP="00787924">
            <w:pPr>
              <w:spacing w:before="60" w:line="228" w:lineRule="auto"/>
              <w:rPr>
                <w:rFonts w:ascii="Times New Roman" w:eastAsia="Calibri" w:hAnsi="Times New Roman"/>
                <w:sz w:val="24"/>
                <w:szCs w:val="24"/>
                <w:lang w:eastAsia="en-US" w:bidi="uk-UA"/>
              </w:rPr>
            </w:pPr>
            <w:r w:rsidRPr="009E3605">
              <w:rPr>
                <w:rFonts w:ascii="Times New Roman" w:eastAsia="Calibri" w:hAnsi="Times New Roman"/>
                <w:sz w:val="24"/>
                <w:szCs w:val="24"/>
                <w:lang w:eastAsia="en-US" w:bidi="uk-UA"/>
              </w:rPr>
              <w:t>Департамент транзитних процедур</w:t>
            </w:r>
          </w:p>
          <w:p w:rsidR="004F7302" w:rsidRDefault="004F7302" w:rsidP="004F7302">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 xml:space="preserve">Департамент з питань цифрового розвитку, цифрових трансформацій і </w:t>
            </w:r>
            <w:proofErr w:type="spellStart"/>
            <w:r>
              <w:rPr>
                <w:rFonts w:ascii="Times New Roman" w:eastAsia="Calibri" w:hAnsi="Times New Roman"/>
                <w:sz w:val="24"/>
                <w:szCs w:val="24"/>
                <w:lang w:eastAsia="en-US" w:bidi="uk-UA"/>
              </w:rPr>
              <w:t>цифровізації</w:t>
            </w:r>
            <w:proofErr w:type="spellEnd"/>
          </w:p>
          <w:p w:rsidR="004F7302" w:rsidRDefault="004F7302" w:rsidP="00787924">
            <w:pPr>
              <w:spacing w:before="60" w:line="228" w:lineRule="auto"/>
              <w:rPr>
                <w:rFonts w:ascii="Times New Roman" w:eastAsia="Calibri" w:hAnsi="Times New Roman"/>
                <w:sz w:val="24"/>
                <w:szCs w:val="24"/>
                <w:lang w:eastAsia="en-US" w:bidi="uk-UA"/>
              </w:rPr>
            </w:pPr>
          </w:p>
          <w:p w:rsidR="0029294F" w:rsidRPr="004F7302" w:rsidRDefault="0029294F" w:rsidP="00787924">
            <w:pPr>
              <w:spacing w:before="60" w:line="228" w:lineRule="auto"/>
              <w:rPr>
                <w:rFonts w:ascii="Times New Roman" w:eastAsia="Calibri" w:hAnsi="Times New Roman"/>
                <w:sz w:val="24"/>
                <w:szCs w:val="24"/>
                <w:lang w:eastAsia="en-US" w:bidi="uk-UA"/>
              </w:rPr>
            </w:pP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Очікуваний стратегічний результат 2.3.2.2. Запроваджено переважне адміністрування митних платежів за результатами пост-аудит контролю</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2.3.2.2.</w:t>
            </w:r>
            <w:r w:rsidRPr="00123A70">
              <w:rPr>
                <w:rFonts w:ascii="Times New Roman" w:eastAsia="Calibri" w:hAnsi="Times New Roman"/>
                <w:sz w:val="24"/>
                <w:szCs w:val="24"/>
                <w:lang w:eastAsia="en-US" w:bidi="uk-UA"/>
              </w:rPr>
              <w:t>1. Проведення постійного моніторингу ефективності проведення заходів пост-митного контролю, у тому числі із залученням бізнес-асоціацій, та щорічне публічне звітування про результати застосування пост-аудит контролю</w:t>
            </w:r>
          </w:p>
        </w:tc>
        <w:tc>
          <w:tcPr>
            <w:tcW w:w="1265"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березень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line="228" w:lineRule="auto"/>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щорічний звіт оприлюднено</w:t>
            </w:r>
          </w:p>
        </w:tc>
        <w:tc>
          <w:tcPr>
            <w:tcW w:w="2269"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4F7302" w:rsidRDefault="004F7302" w:rsidP="00787924">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митного аудиту та обліку осіб</w:t>
            </w:r>
          </w:p>
          <w:p w:rsidR="006C1578" w:rsidRPr="00123A70" w:rsidRDefault="0029294F" w:rsidP="00787924">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профілювання митних ризиків</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2.3.2.2.</w:t>
            </w:r>
            <w:r w:rsidRPr="00123A70">
              <w:rPr>
                <w:rFonts w:ascii="Times New Roman" w:eastAsia="Calibri" w:hAnsi="Times New Roman"/>
                <w:sz w:val="24"/>
                <w:szCs w:val="24"/>
                <w:lang w:eastAsia="en-US" w:bidi="uk-UA"/>
              </w:rPr>
              <w:t>2. Збирання та оприлюднення щорічних статистичних даних про здійснені посадовими особами митних органів форми контролю, що дасть змогу визначити частку заходів пост-митного контролю серед інших його форм</w:t>
            </w:r>
          </w:p>
        </w:tc>
        <w:tc>
          <w:tcPr>
            <w:tcW w:w="1265"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березень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line="228" w:lineRule="auto"/>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щорічну статистику оприлюднено</w:t>
            </w:r>
          </w:p>
        </w:tc>
        <w:tc>
          <w:tcPr>
            <w:tcW w:w="2269"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4F7302" w:rsidRDefault="004F7302" w:rsidP="00787924">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митного аудиту та обліку осіб</w:t>
            </w:r>
          </w:p>
          <w:p w:rsidR="006C1578" w:rsidRPr="00123A70" w:rsidRDefault="00766E3E" w:rsidP="00787924">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профілювання митних ризиків</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2.3.2.2.</w:t>
            </w:r>
            <w:r w:rsidRPr="00123A70">
              <w:rPr>
                <w:rFonts w:ascii="Times New Roman" w:eastAsia="Calibri" w:hAnsi="Times New Roman"/>
                <w:sz w:val="24"/>
                <w:szCs w:val="24"/>
                <w:lang w:eastAsia="en-US" w:bidi="uk-UA"/>
              </w:rPr>
              <w:t xml:space="preserve">3. Забезпечення збільшення частки проведених заходів пост-митного контролю серед інших здійснених заходів митного контролю з урахуванням статистичних даних, оприлюднених на виконання завдання, зазначеного у підпункті </w:t>
            </w:r>
            <w:r w:rsidRPr="00123A70">
              <w:rPr>
                <w:rFonts w:ascii="Times New Roman" w:eastAsia="Calibri" w:hAnsi="Times New Roman"/>
                <w:sz w:val="24"/>
                <w:szCs w:val="24"/>
                <w:lang w:eastAsia="en-US"/>
              </w:rPr>
              <w:t>2.3.2.2.</w:t>
            </w:r>
            <w:r w:rsidRPr="00123A70">
              <w:rPr>
                <w:rFonts w:ascii="Times New Roman" w:eastAsia="Calibri" w:hAnsi="Times New Roman"/>
                <w:sz w:val="24"/>
                <w:szCs w:val="24"/>
                <w:lang w:eastAsia="en-US" w:bidi="uk-UA"/>
              </w:rPr>
              <w:t>2</w:t>
            </w:r>
          </w:p>
        </w:tc>
        <w:tc>
          <w:tcPr>
            <w:tcW w:w="1265"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березень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line="228" w:lineRule="auto"/>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частка заходів пост-митного контролю порівняно з іншими формами контролю щороку збільшується</w:t>
            </w:r>
          </w:p>
        </w:tc>
        <w:tc>
          <w:tcPr>
            <w:tcW w:w="2269"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4F7302" w:rsidRDefault="004F7302" w:rsidP="004F7302">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митного аудиту та обліку осіб</w:t>
            </w:r>
          </w:p>
          <w:p w:rsidR="006C1578" w:rsidRPr="00123A70" w:rsidRDefault="00766E3E" w:rsidP="00787924">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профілювання митних ризиків</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2.3.2.2.</w:t>
            </w:r>
            <w:r w:rsidRPr="00123A70">
              <w:rPr>
                <w:rFonts w:ascii="Times New Roman" w:eastAsia="Calibri" w:hAnsi="Times New Roman"/>
                <w:sz w:val="24"/>
                <w:szCs w:val="24"/>
                <w:lang w:eastAsia="en-US" w:bidi="uk-UA"/>
              </w:rPr>
              <w:t xml:space="preserve">4. Розроблення проекту наказу щодо внесення змін до Порядку здійснення аналізу та оцінки ризиків, розроблення і реалізації заходів з управління ризиками для визначення форм та обсягів митного контролю, затвердженого наказом Мінфіну </w:t>
            </w:r>
            <w:r w:rsidRPr="00123A70">
              <w:rPr>
                <w:rFonts w:ascii="Times New Roman" w:eastAsia="Calibri" w:hAnsi="Times New Roman"/>
                <w:sz w:val="24"/>
                <w:szCs w:val="24"/>
                <w:lang w:eastAsia="en-US" w:bidi="uk-UA"/>
              </w:rPr>
              <w:br/>
              <w:t>від 31 липня 2015 р. № 684, відповідно до яких система управління ризиками застосовується для визначення необхідності проведення пост-митного контролю</w:t>
            </w:r>
          </w:p>
        </w:tc>
        <w:tc>
          <w:tcPr>
            <w:tcW w:w="1265"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лютий</w:t>
            </w:r>
            <w:r w:rsidRPr="00123A70">
              <w:rPr>
                <w:rFonts w:ascii="Times New Roman" w:eastAsia="Calibri" w:hAnsi="Times New Roman"/>
                <w:sz w:val="24"/>
                <w:szCs w:val="24"/>
                <w:lang w:eastAsia="en-US" w:bidi="uk-UA"/>
              </w:rPr>
              <w:br/>
              <w:t>2024 р.</w:t>
            </w:r>
          </w:p>
        </w:tc>
        <w:tc>
          <w:tcPr>
            <w:tcW w:w="1955"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березень</w:t>
            </w:r>
            <w:r w:rsidRPr="00123A70">
              <w:rPr>
                <w:rFonts w:ascii="Times New Roman" w:eastAsia="Calibri" w:hAnsi="Times New Roman"/>
                <w:sz w:val="24"/>
                <w:szCs w:val="24"/>
                <w:lang w:eastAsia="en-US" w:bidi="uk-UA"/>
              </w:rPr>
              <w:br/>
              <w:t>2024 р.</w:t>
            </w:r>
          </w:p>
        </w:tc>
        <w:tc>
          <w:tcPr>
            <w:tcW w:w="236" w:type="dxa"/>
          </w:tcPr>
          <w:p w:rsidR="006C1578" w:rsidRPr="00123A70" w:rsidRDefault="006C1578" w:rsidP="00787924">
            <w:pPr>
              <w:spacing w:before="60" w:line="228" w:lineRule="auto"/>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проект наказу оприлюднено для проведення громадського обговорення</w:t>
            </w:r>
          </w:p>
        </w:tc>
        <w:tc>
          <w:tcPr>
            <w:tcW w:w="2269"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tc>
        <w:tc>
          <w:tcPr>
            <w:tcW w:w="2265" w:type="dxa"/>
          </w:tcPr>
          <w:p w:rsidR="006C1578" w:rsidRPr="00123A70" w:rsidRDefault="00766E3E" w:rsidP="00787924">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профілювання митних ризиків</w:t>
            </w: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en-US"/>
              </w:rPr>
            </w:pPr>
            <w:r w:rsidRPr="00123A70">
              <w:rPr>
                <w:rFonts w:ascii="Times New Roman" w:eastAsia="Calibri" w:hAnsi="Times New Roman"/>
                <w:sz w:val="24"/>
                <w:szCs w:val="24"/>
                <w:lang w:eastAsia="en-US" w:bidi="uk-UA"/>
              </w:rPr>
              <w:t xml:space="preserve">Проблема 2.3.3. </w:t>
            </w:r>
            <w:r w:rsidRPr="00123A70">
              <w:rPr>
                <w:rFonts w:ascii="Times New Roman" w:eastAsia="Calibri" w:hAnsi="Times New Roman"/>
                <w:sz w:val="24"/>
                <w:szCs w:val="24"/>
                <w:lang w:eastAsia="en-US"/>
              </w:rPr>
              <w:t>Недосконала процедура адміністративного оскарження дій посадових осіб митних органів</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bidi="uk-UA"/>
              </w:rPr>
            </w:pP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Очікуваний стратегічний результат 2.3.3.1. Запроваджено ефективний і прозорий механізм розгляду скарг на дії посадових осіб митних органів, а також моніторинг результатів їх розгляду</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2.3.3.1.</w:t>
            </w:r>
            <w:r w:rsidRPr="00123A70">
              <w:rPr>
                <w:rFonts w:ascii="Times New Roman" w:eastAsia="Calibri" w:hAnsi="Times New Roman"/>
                <w:sz w:val="24"/>
                <w:szCs w:val="24"/>
                <w:lang w:eastAsia="en-US" w:bidi="uk-UA"/>
              </w:rPr>
              <w:t>1. Розроблення та подання Кабінетові Міністрів України проекту закону щодо внесення змін до Митного кодексу України, відповідно до якого встановлено обов’язок невідкладного оприлюднення на офіційному веб-сайті Держмитслужби знеособленого тексту всіх рішень за результатами розгляду скарг</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жовтень</w:t>
            </w:r>
            <w:r w:rsidRPr="00123A70">
              <w:rPr>
                <w:rFonts w:ascii="Times New Roman" w:eastAsia="Calibri" w:hAnsi="Times New Roman"/>
                <w:sz w:val="24"/>
                <w:szCs w:val="24"/>
                <w:lang w:eastAsia="en-US" w:bidi="uk-UA"/>
              </w:rPr>
              <w:br/>
              <w:t>2023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проект закону подано до Верховної Ради України</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Верховної Ради України</w:t>
            </w:r>
          </w:p>
        </w:tc>
        <w:tc>
          <w:tcPr>
            <w:tcW w:w="2265" w:type="dxa"/>
          </w:tcPr>
          <w:p w:rsidR="006C1578" w:rsidRPr="00123A70" w:rsidRDefault="00766E3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Юридичний департамент</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2.3.3.1.2</w:t>
            </w:r>
            <w:r w:rsidRPr="00123A70">
              <w:rPr>
                <w:rFonts w:ascii="Times New Roman" w:eastAsia="Calibri" w:hAnsi="Times New Roman"/>
                <w:sz w:val="24"/>
                <w:szCs w:val="24"/>
                <w:lang w:eastAsia="en-US" w:bidi="uk-UA"/>
              </w:rPr>
              <w:t>. Щорічна підготовка публічного звіту про статистику і результати адміністративного розгляду скарг на дії посадових органів митниці; проведення постійного моніторингу ефективності адміністративного розгляду адміністративних скарг, у тому числі із залученням бізнес-асоціацій</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грудень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звіт оприлюднено</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4F7302" w:rsidRDefault="004F7302"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Організаційно-розпорядчий департамент</w:t>
            </w:r>
          </w:p>
          <w:p w:rsidR="006C1578" w:rsidRPr="00123A70" w:rsidRDefault="00766E3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Юридичний департамент</w:t>
            </w: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Очікуваний стратегічний результат 2.3.3.2. Ефективно і прозоро працює механізм притягнення до дисциплінарної відповідальності працівників митних органів (включаючи звільнення з посади)</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color w:val="000000"/>
                <w:sz w:val="24"/>
                <w:szCs w:val="24"/>
                <w:lang w:eastAsia="en-US"/>
              </w:rPr>
            </w:pPr>
            <w:r w:rsidRPr="00123A70">
              <w:rPr>
                <w:rFonts w:ascii="Times New Roman" w:eastAsia="Calibri" w:hAnsi="Times New Roman"/>
                <w:sz w:val="24"/>
                <w:szCs w:val="24"/>
                <w:lang w:eastAsia="en-US" w:bidi="uk-UA"/>
              </w:rPr>
              <w:t>2.3.3.2.1. </w:t>
            </w:r>
            <w:r w:rsidRPr="00123A70">
              <w:rPr>
                <w:rFonts w:ascii="Times New Roman" w:eastAsia="Calibri" w:hAnsi="Times New Roman"/>
                <w:sz w:val="24"/>
                <w:szCs w:val="24"/>
                <w:lang w:eastAsia="en-US"/>
              </w:rPr>
              <w:t>Розроблення</w:t>
            </w:r>
            <w:r w:rsidRPr="00123A70">
              <w:rPr>
                <w:rFonts w:ascii="Times New Roman" w:eastAsia="Calibri" w:hAnsi="Times New Roman"/>
                <w:color w:val="000000"/>
                <w:sz w:val="24"/>
                <w:szCs w:val="24"/>
                <w:lang w:eastAsia="en-US"/>
              </w:rPr>
              <w:t xml:space="preserve"> організаційно-розпорядчого </w:t>
            </w:r>
            <w:proofErr w:type="spellStart"/>
            <w:r w:rsidRPr="00123A70">
              <w:rPr>
                <w:rFonts w:ascii="Times New Roman" w:eastAsia="Calibri" w:hAnsi="Times New Roman"/>
                <w:color w:val="000000"/>
                <w:sz w:val="24"/>
                <w:szCs w:val="24"/>
                <w:lang w:eastAsia="en-US"/>
              </w:rPr>
              <w:t>акта</w:t>
            </w:r>
            <w:proofErr w:type="spellEnd"/>
            <w:r w:rsidRPr="00123A70">
              <w:rPr>
                <w:rFonts w:ascii="Times New Roman" w:eastAsia="Calibri" w:hAnsi="Times New Roman"/>
                <w:color w:val="000000"/>
                <w:sz w:val="24"/>
                <w:szCs w:val="24"/>
                <w:lang w:eastAsia="en-US"/>
              </w:rPr>
              <w:t xml:space="preserve"> (наказу), відповідно до якого:</w:t>
            </w:r>
          </w:p>
          <w:p w:rsidR="006C1578" w:rsidRPr="00123A70" w:rsidRDefault="006C1578" w:rsidP="00787924">
            <w:pPr>
              <w:spacing w:before="60"/>
              <w:rPr>
                <w:rFonts w:ascii="Times New Roman" w:eastAsia="Calibri" w:hAnsi="Times New Roman"/>
                <w:color w:val="000000"/>
                <w:sz w:val="24"/>
                <w:szCs w:val="24"/>
                <w:lang w:eastAsia="en-US"/>
              </w:rPr>
            </w:pPr>
            <w:r w:rsidRPr="00123A70">
              <w:rPr>
                <w:rFonts w:ascii="Times New Roman" w:eastAsia="Calibri" w:hAnsi="Times New Roman"/>
                <w:color w:val="000000"/>
                <w:sz w:val="24"/>
                <w:szCs w:val="24"/>
                <w:lang w:eastAsia="en-US"/>
              </w:rPr>
              <w:t>1) установлено обов’язок Держмитслужби щокварталу оприлюднювати результати роботи дисциплінарних комісій, утворених у Держмитслужбі та в митних органах, в розрізі митних органів, кількості розглянутих справ, видів рекомендованих рішень, кількості і видів прийнятих суб’єктами призначення рішень про накладення на державного службовця дисциплінарного стягнення чи закриття дисциплінарного провадження;</w:t>
            </w:r>
          </w:p>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color w:val="000000"/>
                <w:sz w:val="24"/>
                <w:szCs w:val="24"/>
                <w:lang w:eastAsia="en-US"/>
              </w:rPr>
              <w:t>2) установлено обов’язок Держмитслужби здійснювати щорічний моніторинг результатів розгляду дисциплінарних скарг на дії посадових осіб та інших працівників митних органів з публікацією та публічним обговоренням результатів такого моніторингу</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травень </w:t>
            </w:r>
            <w:r w:rsidRPr="00123A70">
              <w:rPr>
                <w:rFonts w:ascii="Times New Roman" w:eastAsia="Calibri" w:hAnsi="Times New Roman"/>
                <w:sz w:val="24"/>
                <w:szCs w:val="24"/>
                <w:lang w:eastAsia="en-US" w:bidi="uk-UA"/>
              </w:rPr>
              <w:br/>
              <w:t>2023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наказ видано</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2265" w:type="dxa"/>
          </w:tcPr>
          <w:p w:rsidR="00766E3E" w:rsidRPr="00123A70" w:rsidRDefault="00766E3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по роботі з персоналом</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2.3.3.2.2. Щоквартальне опублікування результатів роботи дисциплінарних комісій, </w:t>
            </w:r>
            <w:r w:rsidRPr="00123A70">
              <w:rPr>
                <w:rFonts w:ascii="Times New Roman" w:eastAsia="Calibri" w:hAnsi="Times New Roman"/>
                <w:color w:val="000000"/>
                <w:sz w:val="24"/>
                <w:szCs w:val="24"/>
                <w:lang w:eastAsia="en-US"/>
              </w:rPr>
              <w:t xml:space="preserve">утворених у Держмитслужбі та в митних органах, відповідно до наказу, зазначеного </w:t>
            </w:r>
            <w:r w:rsidRPr="00123A70">
              <w:rPr>
                <w:rFonts w:ascii="Times New Roman" w:eastAsia="Calibri" w:hAnsi="Times New Roman"/>
                <w:sz w:val="24"/>
                <w:szCs w:val="24"/>
                <w:lang w:eastAsia="en-US" w:bidi="uk-UA"/>
              </w:rPr>
              <w:t>у підпункті</w:t>
            </w:r>
            <w:r w:rsidRPr="00123A70">
              <w:rPr>
                <w:rFonts w:ascii="Times New Roman" w:eastAsia="Calibri" w:hAnsi="Times New Roman"/>
                <w:color w:val="000000"/>
                <w:sz w:val="24"/>
                <w:szCs w:val="24"/>
                <w:lang w:eastAsia="en-US"/>
              </w:rPr>
              <w:t xml:space="preserve"> 2.3.3.2.1</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травень </w:t>
            </w:r>
            <w:r w:rsidRPr="00123A70">
              <w:rPr>
                <w:rFonts w:ascii="Times New Roman" w:eastAsia="Calibri" w:hAnsi="Times New Roman"/>
                <w:sz w:val="24"/>
                <w:szCs w:val="24"/>
                <w:lang w:eastAsia="en-US" w:bidi="uk-UA"/>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грудень </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результати щоквартально публікуються</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6C1578" w:rsidRPr="00123A70" w:rsidRDefault="00766E3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по роботі з персоналом</w:t>
            </w:r>
          </w:p>
        </w:tc>
      </w:tr>
      <w:tr w:rsidR="006C1578" w:rsidRPr="00123A70" w:rsidTr="004B0178">
        <w:trPr>
          <w:gridAfter w:val="2"/>
          <w:wAfter w:w="762" w:type="dxa"/>
          <w:trHeight w:val="230"/>
        </w:trPr>
        <w:tc>
          <w:tcPr>
            <w:tcW w:w="4473" w:type="dxa"/>
            <w:gridSpan w:val="2"/>
            <w:hideMark/>
          </w:tcPr>
          <w:p w:rsidR="006C1578" w:rsidRPr="00123A70" w:rsidRDefault="006C1578" w:rsidP="004F7302">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2.3.3.2.3. Здійснення моніторингу результатів розгляду дисциплінарних скарг на дії посадових осіб та інших працівників митних органів відповідно до наказу, зазначеного у підпункті </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травень </w:t>
            </w:r>
            <w:r w:rsidRPr="00123A70">
              <w:rPr>
                <w:rFonts w:ascii="Times New Roman" w:eastAsia="Calibri" w:hAnsi="Times New Roman"/>
                <w:sz w:val="24"/>
                <w:szCs w:val="24"/>
                <w:lang w:eastAsia="en-US" w:bidi="uk-UA"/>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грудень </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результати моніторингу щорічно публікуються</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6C1578" w:rsidRPr="00123A70" w:rsidRDefault="00766E3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по роботі з персоналом</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2.3.3.2.4. Публічне обговорення результатів моніторингу відповідно до наказу, зазначеного у підпункті 2.3.3.2.1</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травень </w:t>
            </w:r>
            <w:r w:rsidRPr="00123A70">
              <w:rPr>
                <w:rFonts w:ascii="Times New Roman" w:eastAsia="Calibri" w:hAnsi="Times New Roman"/>
                <w:sz w:val="24"/>
                <w:szCs w:val="24"/>
                <w:lang w:eastAsia="en-US" w:bidi="uk-UA"/>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грудень </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результати моніторингу щорічно обговорюються</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6C1578" w:rsidRDefault="00766E3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по роботі з персоналом</w:t>
            </w:r>
          </w:p>
          <w:p w:rsidR="00E748AE" w:rsidRDefault="00E748AE" w:rsidP="00E748AE">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Відділ прес-служби та взаємодії з громадськістю</w:t>
            </w:r>
          </w:p>
          <w:p w:rsidR="001330F7" w:rsidRDefault="001330F7" w:rsidP="00E748AE">
            <w:pPr>
              <w:spacing w:before="60"/>
              <w:rPr>
                <w:rFonts w:ascii="Times New Roman" w:eastAsia="Calibri" w:hAnsi="Times New Roman"/>
                <w:sz w:val="24"/>
                <w:szCs w:val="24"/>
                <w:lang w:eastAsia="en-US" w:bidi="uk-UA"/>
              </w:rPr>
            </w:pPr>
          </w:p>
          <w:p w:rsidR="00E748AE" w:rsidRPr="00123A70" w:rsidRDefault="00E748AE" w:rsidP="00787924">
            <w:pPr>
              <w:spacing w:before="60"/>
              <w:rPr>
                <w:rFonts w:ascii="Times New Roman" w:eastAsia="Calibri" w:hAnsi="Times New Roman"/>
                <w:sz w:val="24"/>
                <w:szCs w:val="24"/>
                <w:lang w:eastAsia="en-US" w:bidi="uk-UA"/>
              </w:rPr>
            </w:pP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en-US"/>
              </w:rPr>
            </w:pPr>
            <w:r w:rsidRPr="00123A70">
              <w:rPr>
                <w:rFonts w:ascii="Times New Roman" w:eastAsia="Calibri" w:hAnsi="Times New Roman"/>
                <w:sz w:val="24"/>
                <w:szCs w:val="24"/>
                <w:lang w:eastAsia="en-US" w:bidi="uk-UA"/>
              </w:rPr>
              <w:t>Проблема 2.3.4. Втручання правоохоронних органів у роботу митних органів та зловживання під час передачі орієнтувань про здійснення переогляду товарів</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bidi="uk-UA"/>
              </w:rPr>
            </w:pP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Очікуваний стратегічний результат 2.3.4.1. Мінімізовано підстави для втручання поза межами кримінального провадження працівників правоохоронних органів у роботу митних органів та для їх перебування в зонах митного контролю</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2.3.4.1.1. Розроблення та подання Кабінетові Міністрів України проекту постанови Кабінету Міністрів України про внесення змін до постанови Кабінету Міністрів України від 23 травня 2012 р. № 467, відповідно до якої із вичерпного переліку підстав, за наявності яких може проводитись огляд (переогляд) товарів, транспортних засобів комерційного призначення органами доходів і зборів України, виключено пункт 14 та додаток до вичерпного переліку</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березень</w:t>
            </w:r>
            <w:r w:rsidRPr="00123A70">
              <w:rPr>
                <w:rFonts w:ascii="Times New Roman" w:eastAsia="Calibri" w:hAnsi="Times New Roman"/>
                <w:sz w:val="24"/>
                <w:szCs w:val="24"/>
                <w:lang w:eastAsia="en-US" w:bidi="uk-UA"/>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травень</w:t>
            </w:r>
            <w:r w:rsidRPr="00123A70">
              <w:rPr>
                <w:rFonts w:ascii="Times New Roman" w:eastAsia="Calibri" w:hAnsi="Times New Roman"/>
                <w:sz w:val="24"/>
                <w:szCs w:val="24"/>
                <w:lang w:eastAsia="en-US" w:bidi="uk-UA"/>
              </w:rPr>
              <w:br/>
              <w:t>2023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постанову Кабінету Міністрів України прийнято</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rPr>
                <w:rFonts w:ascii="Times New Roman" w:eastAsia="Calibri" w:hAnsi="Times New Roman"/>
                <w:sz w:val="24"/>
                <w:szCs w:val="24"/>
                <w:lang w:eastAsia="en-US"/>
              </w:rPr>
            </w:pPr>
            <w:r w:rsidRPr="00123A70">
              <w:rPr>
                <w:rFonts w:ascii="Times New Roman" w:eastAsia="Calibri" w:hAnsi="Times New Roman"/>
                <w:sz w:val="24"/>
                <w:szCs w:val="24"/>
                <w:lang w:eastAsia="en-US" w:bidi="uk-UA"/>
              </w:rPr>
              <w:t xml:space="preserve">офіційні друковані видання </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rPr>
              <w:t>офіційний веб-сайт Кабінету Міністрів України</w:t>
            </w:r>
          </w:p>
        </w:tc>
        <w:tc>
          <w:tcPr>
            <w:tcW w:w="2265" w:type="dxa"/>
          </w:tcPr>
          <w:p w:rsidR="006C1578" w:rsidRDefault="00766E3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боротьби з контрабандою та порушеннями митних правил</w:t>
            </w:r>
          </w:p>
          <w:p w:rsidR="004F7302" w:rsidRPr="00123A70" w:rsidRDefault="004F7302" w:rsidP="00787924">
            <w:pPr>
              <w:spacing w:before="60"/>
              <w:rPr>
                <w:rFonts w:ascii="Times New Roman" w:eastAsia="Calibri" w:hAnsi="Times New Roman"/>
                <w:sz w:val="24"/>
                <w:szCs w:val="24"/>
                <w:lang w:eastAsia="en-US" w:bidi="uk-UA"/>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2.3.4.1.2. Ведення статистики</w:t>
            </w:r>
            <w:r w:rsidRPr="00123A70">
              <w:rPr>
                <w:rFonts w:ascii="Times New Roman" w:eastAsia="Calibri" w:hAnsi="Times New Roman"/>
                <w:sz w:val="24"/>
                <w:szCs w:val="24"/>
                <w:lang w:eastAsia="en-US"/>
              </w:rPr>
              <w:t xml:space="preserve"> </w:t>
            </w:r>
            <w:r w:rsidRPr="00123A70">
              <w:rPr>
                <w:rFonts w:ascii="Times New Roman" w:eastAsia="Calibri" w:hAnsi="Times New Roman"/>
                <w:sz w:val="24"/>
                <w:szCs w:val="24"/>
                <w:lang w:eastAsia="en-US" w:bidi="uk-UA"/>
              </w:rPr>
              <w:t>про проведення оглядів (переоглядів) товарів, а також інших форм митного контролю на підставі офіційної інформації, отриманої від правоохоронних органів</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травень </w:t>
            </w:r>
            <w:r w:rsidRPr="00123A70">
              <w:rPr>
                <w:rFonts w:ascii="Times New Roman" w:eastAsia="Calibri" w:hAnsi="Times New Roman"/>
                <w:sz w:val="24"/>
                <w:szCs w:val="24"/>
                <w:lang w:eastAsia="en-US" w:bidi="uk-UA"/>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грудень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щорічна статистика оприлюднена</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6C1578" w:rsidRDefault="00766E3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боротьби з контрабандою та порушеннями митних правил</w:t>
            </w:r>
          </w:p>
          <w:p w:rsidR="004F7302" w:rsidRPr="00123A70" w:rsidRDefault="004F7302" w:rsidP="00787924">
            <w:pPr>
              <w:spacing w:before="60"/>
              <w:rPr>
                <w:rFonts w:ascii="Times New Roman" w:eastAsia="Calibri" w:hAnsi="Times New Roman"/>
                <w:sz w:val="24"/>
                <w:szCs w:val="24"/>
                <w:lang w:eastAsia="en-US" w:bidi="uk-UA"/>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2.3.4.1.3. Забезпечення проведення аналітичного дослідження щодо достатності законодавчих гарантій, передбачених Митним кодексом України, що забезпечують захист прав осіб від зловживань під час проведення огляду (переогляду) товарів на підставі офіційної інформації, отриманої від правоохоронних органів</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січень</w:t>
            </w:r>
            <w:r w:rsidRPr="00123A70">
              <w:rPr>
                <w:rFonts w:ascii="Times New Roman" w:eastAsia="Calibri" w:hAnsi="Times New Roman"/>
                <w:sz w:val="24"/>
                <w:szCs w:val="24"/>
                <w:lang w:eastAsia="en-US" w:bidi="uk-UA"/>
              </w:rPr>
              <w:br/>
              <w:t>2024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квітень</w:t>
            </w:r>
            <w:r w:rsidRPr="00123A70">
              <w:rPr>
                <w:rFonts w:ascii="Times New Roman" w:eastAsia="Calibri" w:hAnsi="Times New Roman"/>
                <w:sz w:val="24"/>
                <w:szCs w:val="24"/>
                <w:lang w:eastAsia="en-US" w:bidi="uk-UA"/>
              </w:rPr>
              <w:br/>
              <w:t>2024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звіт за результатами аналітичного дослідження оприлюднено</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6C1578" w:rsidRDefault="00766E3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боротьби з контрабандою та порушеннями митних правил</w:t>
            </w:r>
          </w:p>
          <w:p w:rsidR="004F7302" w:rsidRPr="00123A70" w:rsidRDefault="004F7302" w:rsidP="00787924">
            <w:pPr>
              <w:spacing w:before="60"/>
              <w:rPr>
                <w:rFonts w:ascii="Times New Roman" w:eastAsia="Calibri" w:hAnsi="Times New Roman"/>
                <w:sz w:val="24"/>
                <w:szCs w:val="24"/>
                <w:lang w:eastAsia="en-US" w:bidi="uk-UA"/>
              </w:rPr>
            </w:pP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 xml:space="preserve">Очікуваний стратегічний результат 2.4.4.2. Налагоджено постійну та ефективну співпрацю між органами державної влади, бізнес-середовищем, Радою бізнес-омбудсмена та Всеукраїнською мережею доброчесності та </w:t>
            </w:r>
            <w:proofErr w:type="spellStart"/>
            <w:r w:rsidRPr="00123A70">
              <w:rPr>
                <w:rFonts w:ascii="Times New Roman" w:eastAsia="Calibri" w:hAnsi="Times New Roman"/>
                <w:sz w:val="24"/>
                <w:szCs w:val="24"/>
                <w:lang w:eastAsia="en-US"/>
              </w:rPr>
              <w:t>комплаєнсу</w:t>
            </w:r>
            <w:proofErr w:type="spellEnd"/>
            <w:r w:rsidRPr="00123A70">
              <w:rPr>
                <w:rFonts w:ascii="Times New Roman" w:eastAsia="Calibri" w:hAnsi="Times New Roman"/>
                <w:sz w:val="24"/>
                <w:szCs w:val="24"/>
                <w:lang w:eastAsia="en-US"/>
              </w:rPr>
              <w:t xml:space="preserve"> з питань щодо забезпечення законних інтересів бізнесу, аналізу системних проблем та розроблення змін до законодавства, просування культури доброчесного, етичного та відповідального ведення бізнесу</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line="233"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 xml:space="preserve">2.4.4.2.1. Участь представників органів державної влади у заходах, що здійснюються в рамках </w:t>
            </w:r>
            <w:r w:rsidRPr="00123A70">
              <w:rPr>
                <w:rFonts w:ascii="Times New Roman" w:eastAsia="Calibri" w:hAnsi="Times New Roman"/>
                <w:bCs/>
                <w:sz w:val="24"/>
                <w:szCs w:val="24"/>
                <w:lang w:eastAsia="en-US"/>
              </w:rPr>
              <w:t>щорічного</w:t>
            </w:r>
            <w:r w:rsidRPr="00123A70">
              <w:rPr>
                <w:rFonts w:ascii="Times New Roman" w:eastAsia="Calibri" w:hAnsi="Times New Roman"/>
                <w:sz w:val="24"/>
                <w:szCs w:val="24"/>
                <w:lang w:eastAsia="en-US"/>
              </w:rPr>
              <w:t xml:space="preserve"> місяця ділової доброчесності </w:t>
            </w:r>
            <w:proofErr w:type="spellStart"/>
            <w:r w:rsidRPr="00123A70">
              <w:rPr>
                <w:rFonts w:ascii="Times New Roman" w:eastAsia="Calibri" w:hAnsi="Times New Roman"/>
                <w:sz w:val="24"/>
                <w:szCs w:val="24"/>
                <w:lang w:eastAsia="en-US"/>
              </w:rPr>
              <w:t>комплаєнс</w:t>
            </w:r>
            <w:proofErr w:type="spellEnd"/>
            <w:r w:rsidRPr="00123A70">
              <w:rPr>
                <w:rFonts w:ascii="Times New Roman" w:eastAsia="Calibri" w:hAnsi="Times New Roman"/>
                <w:sz w:val="24"/>
                <w:szCs w:val="24"/>
                <w:lang w:eastAsia="en-US"/>
              </w:rPr>
              <w:t xml:space="preserve">-практиків Всеукраїнської мережі доброчесності та </w:t>
            </w:r>
            <w:proofErr w:type="spellStart"/>
            <w:r w:rsidRPr="00123A70">
              <w:rPr>
                <w:rFonts w:ascii="Times New Roman" w:eastAsia="Calibri" w:hAnsi="Times New Roman"/>
                <w:sz w:val="24"/>
                <w:szCs w:val="24"/>
                <w:lang w:eastAsia="en-US"/>
              </w:rPr>
              <w:t>комплаєнсу</w:t>
            </w:r>
            <w:proofErr w:type="spellEnd"/>
          </w:p>
        </w:tc>
        <w:tc>
          <w:tcPr>
            <w:tcW w:w="1265" w:type="dxa"/>
            <w:hideMark/>
          </w:tcPr>
          <w:p w:rsidR="006C1578" w:rsidRPr="00123A70" w:rsidRDefault="006C1578" w:rsidP="00787924">
            <w:pPr>
              <w:spacing w:before="60" w:line="233"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1330F7">
            <w:pPr>
              <w:spacing w:before="60" w:line="233"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грудень</w:t>
            </w:r>
            <w:r w:rsidRPr="00123A70">
              <w:rPr>
                <w:rFonts w:ascii="Times New Roman" w:eastAsia="Calibri" w:hAnsi="Times New Roman"/>
                <w:sz w:val="24"/>
                <w:szCs w:val="24"/>
                <w:lang w:eastAsia="en-US"/>
              </w:rPr>
              <w:br/>
              <w:t>2025 р.</w:t>
            </w:r>
          </w:p>
        </w:tc>
        <w:tc>
          <w:tcPr>
            <w:tcW w:w="236" w:type="dxa"/>
          </w:tcPr>
          <w:p w:rsidR="006C1578" w:rsidRPr="00123A70" w:rsidRDefault="006C1578" w:rsidP="00787924">
            <w:pPr>
              <w:spacing w:before="60" w:line="233" w:lineRule="auto"/>
              <w:rPr>
                <w:rFonts w:ascii="Times New Roman" w:eastAsia="Calibri" w:hAnsi="Times New Roman"/>
                <w:sz w:val="24"/>
                <w:szCs w:val="24"/>
                <w:lang w:eastAsia="en-US"/>
              </w:rPr>
            </w:pPr>
          </w:p>
        </w:tc>
        <w:tc>
          <w:tcPr>
            <w:tcW w:w="2956" w:type="dxa"/>
            <w:gridSpan w:val="2"/>
            <w:hideMark/>
          </w:tcPr>
          <w:p w:rsidR="006C1578" w:rsidRPr="00123A70" w:rsidRDefault="006C1578" w:rsidP="00787924">
            <w:pPr>
              <w:spacing w:before="60" w:line="233" w:lineRule="auto"/>
              <w:rPr>
                <w:rFonts w:ascii="Times New Roman" w:eastAsia="Calibri" w:hAnsi="Times New Roman"/>
                <w:sz w:val="24"/>
                <w:szCs w:val="24"/>
                <w:lang w:eastAsia="en-US"/>
              </w:rPr>
            </w:pPr>
            <w:r w:rsidRPr="00123A70">
              <w:rPr>
                <w:rFonts w:ascii="Times New Roman" w:eastAsia="Calibri" w:hAnsi="Times New Roman"/>
                <w:sz w:val="24"/>
                <w:szCs w:val="24"/>
                <w:lang w:eastAsia="en-US"/>
              </w:rPr>
              <w:t>Мінекономіки</w:t>
            </w:r>
          </w:p>
          <w:p w:rsidR="006C1578" w:rsidRPr="00123A70" w:rsidRDefault="006C1578" w:rsidP="00787924">
            <w:pPr>
              <w:spacing w:before="60" w:line="233" w:lineRule="auto"/>
              <w:rPr>
                <w:rFonts w:ascii="Times New Roman" w:eastAsia="Calibri" w:hAnsi="Times New Roman"/>
                <w:sz w:val="24"/>
                <w:szCs w:val="24"/>
                <w:lang w:eastAsia="en-US"/>
              </w:rPr>
            </w:pPr>
            <w:r w:rsidRPr="00123A70">
              <w:rPr>
                <w:rFonts w:ascii="Times New Roman" w:eastAsia="Calibri" w:hAnsi="Times New Roman"/>
                <w:sz w:val="24"/>
                <w:szCs w:val="24"/>
                <w:lang w:eastAsia="en-US"/>
              </w:rPr>
              <w:t>Мінфін</w:t>
            </w:r>
          </w:p>
          <w:p w:rsidR="006C1578" w:rsidRPr="00123A70" w:rsidRDefault="006C1578" w:rsidP="00787924">
            <w:pPr>
              <w:spacing w:before="60" w:line="233" w:lineRule="auto"/>
              <w:rPr>
                <w:rFonts w:ascii="Times New Roman" w:eastAsia="Calibri" w:hAnsi="Times New Roman"/>
                <w:sz w:val="24"/>
                <w:szCs w:val="24"/>
                <w:lang w:eastAsia="en-US"/>
              </w:rPr>
            </w:pPr>
            <w:proofErr w:type="spellStart"/>
            <w:r w:rsidRPr="00123A70">
              <w:rPr>
                <w:rFonts w:ascii="Times New Roman" w:eastAsia="Calibri" w:hAnsi="Times New Roman"/>
                <w:sz w:val="24"/>
                <w:szCs w:val="24"/>
                <w:lang w:eastAsia="en-US"/>
              </w:rPr>
              <w:t>Міндовкілля</w:t>
            </w:r>
            <w:proofErr w:type="spellEnd"/>
          </w:p>
          <w:p w:rsidR="006C1578" w:rsidRPr="00123A70" w:rsidRDefault="006C1578" w:rsidP="00787924">
            <w:pPr>
              <w:spacing w:before="60" w:line="233" w:lineRule="auto"/>
              <w:rPr>
                <w:rFonts w:ascii="Times New Roman" w:eastAsia="Calibri" w:hAnsi="Times New Roman"/>
                <w:sz w:val="24"/>
                <w:szCs w:val="24"/>
                <w:lang w:eastAsia="en-US"/>
              </w:rPr>
            </w:pPr>
            <w:r w:rsidRPr="00123A70">
              <w:rPr>
                <w:rFonts w:ascii="Times New Roman" w:eastAsia="Calibri" w:hAnsi="Times New Roman"/>
                <w:sz w:val="24"/>
                <w:szCs w:val="24"/>
                <w:lang w:eastAsia="en-US"/>
              </w:rPr>
              <w:t>Рада бізнес-омбудсмена</w:t>
            </w:r>
          </w:p>
          <w:p w:rsidR="006C1578" w:rsidRPr="00123A70" w:rsidRDefault="006C1578" w:rsidP="00787924">
            <w:pPr>
              <w:spacing w:before="60" w:line="233" w:lineRule="auto"/>
              <w:rPr>
                <w:rFonts w:ascii="Times New Roman" w:eastAsia="Calibri" w:hAnsi="Times New Roman"/>
                <w:sz w:val="24"/>
                <w:szCs w:val="24"/>
                <w:lang w:eastAsia="en-US"/>
              </w:rPr>
            </w:pPr>
            <w:r w:rsidRPr="00123A70">
              <w:rPr>
                <w:rFonts w:ascii="Times New Roman" w:eastAsia="Calibri" w:hAnsi="Times New Roman"/>
                <w:sz w:val="24"/>
                <w:szCs w:val="24"/>
                <w:lang w:eastAsia="en-US"/>
              </w:rPr>
              <w:t>БЕБ</w:t>
            </w:r>
          </w:p>
          <w:p w:rsidR="006C1578" w:rsidRPr="00123A70" w:rsidRDefault="006C1578" w:rsidP="00787924">
            <w:pPr>
              <w:spacing w:before="60" w:line="233" w:lineRule="auto"/>
              <w:rPr>
                <w:rFonts w:ascii="Times New Roman" w:eastAsia="Calibri" w:hAnsi="Times New Roman"/>
                <w:sz w:val="24"/>
                <w:szCs w:val="24"/>
                <w:lang w:eastAsia="en-US"/>
              </w:rPr>
            </w:pPr>
            <w:r w:rsidRPr="00123A70">
              <w:rPr>
                <w:rFonts w:ascii="Times New Roman" w:eastAsia="Calibri" w:hAnsi="Times New Roman"/>
                <w:sz w:val="24"/>
                <w:szCs w:val="24"/>
                <w:lang w:eastAsia="en-US"/>
              </w:rPr>
              <w:t>ДПС</w:t>
            </w:r>
          </w:p>
          <w:p w:rsidR="006C1578" w:rsidRPr="00123A70" w:rsidRDefault="006C1578" w:rsidP="00787924">
            <w:pPr>
              <w:spacing w:before="60" w:line="233" w:lineRule="auto"/>
              <w:rPr>
                <w:rFonts w:ascii="Times New Roman" w:eastAsia="Calibri" w:hAnsi="Times New Roman"/>
                <w:sz w:val="24"/>
                <w:szCs w:val="24"/>
                <w:lang w:eastAsia="en-US"/>
              </w:rPr>
            </w:pPr>
            <w:r w:rsidRPr="00123A70">
              <w:rPr>
                <w:rFonts w:ascii="Times New Roman" w:eastAsia="Calibri" w:hAnsi="Times New Roman"/>
                <w:sz w:val="24"/>
                <w:szCs w:val="24"/>
                <w:lang w:eastAsia="en-US"/>
              </w:rPr>
              <w:t>ДРС</w:t>
            </w:r>
          </w:p>
          <w:p w:rsidR="006C1578" w:rsidRPr="00123A70" w:rsidRDefault="006C1578" w:rsidP="00787924">
            <w:pPr>
              <w:spacing w:before="60" w:line="233" w:lineRule="auto"/>
              <w:rPr>
                <w:rFonts w:ascii="Times New Roman" w:eastAsia="Calibri" w:hAnsi="Times New Roman"/>
                <w:sz w:val="24"/>
                <w:szCs w:val="24"/>
                <w:lang w:eastAsia="en-US"/>
              </w:rPr>
            </w:pPr>
            <w:r w:rsidRPr="00123A70">
              <w:rPr>
                <w:rFonts w:ascii="Times New Roman" w:eastAsia="Calibri" w:hAnsi="Times New Roman"/>
                <w:sz w:val="24"/>
                <w:szCs w:val="24"/>
                <w:lang w:eastAsia="en-US"/>
              </w:rPr>
              <w:t>Держмитслужба</w:t>
            </w:r>
          </w:p>
          <w:p w:rsidR="006C1578" w:rsidRPr="00123A70" w:rsidRDefault="006C1578" w:rsidP="00787924">
            <w:pPr>
              <w:spacing w:before="60" w:line="233" w:lineRule="auto"/>
              <w:rPr>
                <w:rFonts w:ascii="Times New Roman" w:eastAsia="Calibri" w:hAnsi="Times New Roman"/>
                <w:sz w:val="24"/>
                <w:szCs w:val="24"/>
                <w:lang w:eastAsia="en-US"/>
              </w:rPr>
            </w:pPr>
            <w:r w:rsidRPr="00123A70">
              <w:rPr>
                <w:rFonts w:ascii="Times New Roman" w:eastAsia="Calibri" w:hAnsi="Times New Roman"/>
                <w:sz w:val="24"/>
                <w:szCs w:val="24"/>
                <w:lang w:eastAsia="en-US"/>
              </w:rPr>
              <w:t>Національне антикорупційне бюро</w:t>
            </w:r>
          </w:p>
          <w:p w:rsidR="006C1578" w:rsidRPr="00123A70" w:rsidRDefault="006C1578" w:rsidP="00787924">
            <w:pPr>
              <w:spacing w:before="60" w:line="233" w:lineRule="auto"/>
              <w:rPr>
                <w:rFonts w:ascii="Times New Roman" w:eastAsia="Calibri" w:hAnsi="Times New Roman"/>
                <w:sz w:val="24"/>
                <w:szCs w:val="24"/>
                <w:lang w:eastAsia="en-US"/>
              </w:rPr>
            </w:pPr>
            <w:r w:rsidRPr="00123A70">
              <w:rPr>
                <w:rFonts w:ascii="Times New Roman" w:eastAsia="Calibri" w:hAnsi="Times New Roman"/>
                <w:sz w:val="24"/>
                <w:szCs w:val="24"/>
                <w:lang w:eastAsia="en-US"/>
              </w:rPr>
              <w:t>Національне агентство</w:t>
            </w:r>
          </w:p>
        </w:tc>
        <w:tc>
          <w:tcPr>
            <w:tcW w:w="1589" w:type="dxa"/>
            <w:hideMark/>
          </w:tcPr>
          <w:p w:rsidR="006C1578" w:rsidRPr="00123A70" w:rsidRDefault="006C1578" w:rsidP="00787924">
            <w:pPr>
              <w:spacing w:before="60" w:line="233"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державний бюджет та/або кошти міжнародної технічної допомоги</w:t>
            </w:r>
          </w:p>
        </w:tc>
        <w:tc>
          <w:tcPr>
            <w:tcW w:w="1702" w:type="dxa"/>
            <w:gridSpan w:val="2"/>
            <w:hideMark/>
          </w:tcPr>
          <w:p w:rsidR="006C1578" w:rsidRPr="00123A70" w:rsidRDefault="006C1578" w:rsidP="00787924">
            <w:pPr>
              <w:spacing w:before="60" w:line="233"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line="233"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 xml:space="preserve">місяць ділової доброчесності </w:t>
            </w:r>
            <w:proofErr w:type="spellStart"/>
            <w:r w:rsidRPr="00123A70">
              <w:rPr>
                <w:rFonts w:ascii="Times New Roman" w:eastAsia="Calibri" w:hAnsi="Times New Roman"/>
                <w:sz w:val="24"/>
                <w:szCs w:val="24"/>
                <w:lang w:eastAsia="en-US"/>
              </w:rPr>
              <w:t>комплаєнс</w:t>
            </w:r>
            <w:proofErr w:type="spellEnd"/>
            <w:r w:rsidRPr="00123A70">
              <w:rPr>
                <w:rFonts w:ascii="Times New Roman" w:eastAsia="Calibri" w:hAnsi="Times New Roman"/>
                <w:sz w:val="24"/>
                <w:szCs w:val="24"/>
                <w:lang w:eastAsia="en-US"/>
              </w:rPr>
              <w:t xml:space="preserve">-практиків Всеукраїнської Мережі Доброчесності та </w:t>
            </w:r>
            <w:proofErr w:type="spellStart"/>
            <w:r w:rsidRPr="00123A70">
              <w:rPr>
                <w:rFonts w:ascii="Times New Roman" w:eastAsia="Calibri" w:hAnsi="Times New Roman"/>
                <w:sz w:val="24"/>
                <w:szCs w:val="24"/>
                <w:lang w:eastAsia="en-US"/>
              </w:rPr>
              <w:t>Комплаєнсу</w:t>
            </w:r>
            <w:proofErr w:type="spellEnd"/>
            <w:r w:rsidRPr="00123A70">
              <w:rPr>
                <w:rFonts w:ascii="Times New Roman" w:eastAsia="Calibri" w:hAnsi="Times New Roman"/>
                <w:sz w:val="24"/>
                <w:szCs w:val="24"/>
                <w:lang w:eastAsia="en-US"/>
              </w:rPr>
              <w:t xml:space="preserve"> проведено </w:t>
            </w:r>
            <w:r w:rsidRPr="00123A70">
              <w:rPr>
                <w:rFonts w:ascii="Times New Roman" w:eastAsia="Calibri" w:hAnsi="Times New Roman"/>
                <w:sz w:val="24"/>
                <w:szCs w:val="24"/>
                <w:lang w:eastAsia="uk-UA" w:bidi="uk-UA"/>
              </w:rPr>
              <w:t>за участю</w:t>
            </w:r>
            <w:r w:rsidRPr="00123A70">
              <w:rPr>
                <w:rFonts w:ascii="Times New Roman" w:eastAsia="Calibri" w:hAnsi="Times New Roman"/>
                <w:sz w:val="24"/>
                <w:szCs w:val="24"/>
                <w:lang w:eastAsia="en-US"/>
              </w:rPr>
              <w:t xml:space="preserve"> органів державної влади</w:t>
            </w:r>
          </w:p>
        </w:tc>
        <w:tc>
          <w:tcPr>
            <w:tcW w:w="2269" w:type="dxa"/>
            <w:gridSpan w:val="2"/>
            <w:hideMark/>
          </w:tcPr>
          <w:p w:rsidR="006C1578" w:rsidRPr="00123A70" w:rsidRDefault="006C1578" w:rsidP="00787924">
            <w:pPr>
              <w:spacing w:before="60" w:line="233" w:lineRule="auto"/>
              <w:rPr>
                <w:rFonts w:ascii="Times New Roman" w:eastAsia="Calibri" w:hAnsi="Times New Roman"/>
                <w:sz w:val="24"/>
                <w:szCs w:val="24"/>
                <w:lang w:eastAsia="en-US"/>
              </w:rPr>
            </w:pPr>
            <w:r w:rsidRPr="00123A70">
              <w:rPr>
                <w:rFonts w:ascii="Times New Roman" w:eastAsia="Calibri" w:hAnsi="Times New Roman"/>
                <w:sz w:val="24"/>
                <w:szCs w:val="24"/>
                <w:lang w:eastAsia="en-US"/>
              </w:rPr>
              <w:t>офіційний веб-сайт Мінекономіки</w:t>
            </w:r>
          </w:p>
          <w:p w:rsidR="006C1578" w:rsidRPr="00123A70" w:rsidRDefault="006C1578" w:rsidP="00787924">
            <w:pPr>
              <w:spacing w:before="60" w:line="233"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rPr>
              <w:t>офіційний веб-сайт Ради бізнес-омбудсмена</w:t>
            </w:r>
          </w:p>
        </w:tc>
        <w:tc>
          <w:tcPr>
            <w:tcW w:w="2265" w:type="dxa"/>
          </w:tcPr>
          <w:p w:rsidR="006C1578" w:rsidRPr="00123A70" w:rsidRDefault="009E3605" w:rsidP="00787924">
            <w:pPr>
              <w:spacing w:before="60" w:line="233" w:lineRule="auto"/>
              <w:rPr>
                <w:rFonts w:ascii="Times New Roman" w:eastAsia="Calibri" w:hAnsi="Times New Roman"/>
                <w:sz w:val="24"/>
                <w:szCs w:val="24"/>
                <w:lang w:eastAsia="en-US"/>
              </w:rPr>
            </w:pPr>
            <w:r w:rsidRPr="009E3605">
              <w:rPr>
                <w:rFonts w:ascii="Times New Roman" w:eastAsia="Calibri" w:hAnsi="Times New Roman"/>
                <w:sz w:val="24"/>
                <w:szCs w:val="24"/>
                <w:lang w:eastAsia="en-US"/>
              </w:rPr>
              <w:t>Управління з питань запобігання та виявлення корупції</w:t>
            </w:r>
          </w:p>
        </w:tc>
      </w:tr>
    </w:tbl>
    <w:p w:rsidR="00603074" w:rsidRDefault="00603074" w:rsidP="006428DF">
      <w:pPr>
        <w:keepNext/>
        <w:outlineLvl w:val="2"/>
      </w:pPr>
    </w:p>
    <w:sectPr w:rsidR="00603074" w:rsidSect="00FB1052">
      <w:headerReference w:type="even" r:id="rId6"/>
      <w:headerReference w:type="default" r:id="rId7"/>
      <w:pgSz w:w="23814" w:h="16839" w:orient="landscape" w:code="8"/>
      <w:pgMar w:top="720" w:right="720" w:bottom="720" w:left="720" w:header="567" w:footer="567"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35D" w:rsidRDefault="00DC335D" w:rsidP="006C1578">
      <w:r>
        <w:separator/>
      </w:r>
    </w:p>
  </w:endnote>
  <w:endnote w:type="continuationSeparator" w:id="0">
    <w:p w:rsidR="00DC335D" w:rsidRDefault="00DC335D" w:rsidP="006C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Antiqua">
    <w:altName w:val="Arial"/>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35D" w:rsidRDefault="00DC335D" w:rsidP="006C1578">
      <w:r>
        <w:separator/>
      </w:r>
    </w:p>
  </w:footnote>
  <w:footnote w:type="continuationSeparator" w:id="0">
    <w:p w:rsidR="00DC335D" w:rsidRDefault="00DC335D" w:rsidP="006C1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CD05F6">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FB105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7F64FA" w:rsidRDefault="00CD05F6">
    <w:pPr>
      <w:framePr w:wrap="around" w:vAnchor="text" w:hAnchor="margin" w:xAlign="center" w:y="1"/>
      <w:rPr>
        <w:rFonts w:ascii="Times New Roman" w:hAnsi="Times New Roman"/>
        <w:sz w:val="28"/>
        <w:szCs w:val="28"/>
      </w:rPr>
    </w:pPr>
    <w:r w:rsidRPr="007F64FA">
      <w:rPr>
        <w:rFonts w:ascii="Times New Roman" w:hAnsi="Times New Roman"/>
        <w:sz w:val="28"/>
        <w:szCs w:val="28"/>
      </w:rPr>
      <w:fldChar w:fldCharType="begin"/>
    </w:r>
    <w:r w:rsidRPr="007F64FA">
      <w:rPr>
        <w:rFonts w:ascii="Times New Roman" w:hAnsi="Times New Roman"/>
        <w:sz w:val="28"/>
        <w:szCs w:val="28"/>
      </w:rPr>
      <w:instrText xml:space="preserve">PAGE  </w:instrText>
    </w:r>
    <w:r w:rsidRPr="007F64FA">
      <w:rPr>
        <w:rFonts w:ascii="Times New Roman" w:hAnsi="Times New Roman"/>
        <w:sz w:val="28"/>
        <w:szCs w:val="28"/>
      </w:rPr>
      <w:fldChar w:fldCharType="separate"/>
    </w:r>
    <w:r w:rsidR="00FB1052">
      <w:rPr>
        <w:rFonts w:ascii="Times New Roman" w:hAnsi="Times New Roman"/>
        <w:noProof/>
        <w:sz w:val="28"/>
        <w:szCs w:val="28"/>
      </w:rPr>
      <w:t>2</w:t>
    </w:r>
    <w:r w:rsidRPr="007F64FA">
      <w:rPr>
        <w:rFonts w:ascii="Times New Roman" w:hAnsi="Times New Roman"/>
        <w:sz w:val="28"/>
        <w:szCs w:val="28"/>
      </w:rPr>
      <w:fldChar w:fldCharType="end"/>
    </w:r>
  </w:p>
  <w:p w:rsidR="00525BBB" w:rsidRPr="007F64FA" w:rsidRDefault="00FB1052" w:rsidP="006428DF">
    <w:pPr>
      <w:jc w:val="right"/>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CC2"/>
    <w:rsid w:val="0002099D"/>
    <w:rsid w:val="00065570"/>
    <w:rsid w:val="001330F7"/>
    <w:rsid w:val="00133CC2"/>
    <w:rsid w:val="0029294F"/>
    <w:rsid w:val="004B0178"/>
    <w:rsid w:val="004E4048"/>
    <w:rsid w:val="004F7302"/>
    <w:rsid w:val="00603074"/>
    <w:rsid w:val="006428DF"/>
    <w:rsid w:val="00665B57"/>
    <w:rsid w:val="006B5375"/>
    <w:rsid w:val="006C1578"/>
    <w:rsid w:val="00766E3E"/>
    <w:rsid w:val="009A5798"/>
    <w:rsid w:val="009B0BFE"/>
    <w:rsid w:val="009C764F"/>
    <w:rsid w:val="009E3605"/>
    <w:rsid w:val="00B56C6F"/>
    <w:rsid w:val="00CD05F6"/>
    <w:rsid w:val="00DB76EE"/>
    <w:rsid w:val="00DC335D"/>
    <w:rsid w:val="00E362FF"/>
    <w:rsid w:val="00E748AE"/>
    <w:rsid w:val="00FB10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4A6F"/>
  <w15:chartTrackingRefBased/>
  <w15:docId w15:val="{37203616-38D8-45DA-A831-29F22353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578"/>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C1578"/>
    <w:pPr>
      <w:tabs>
        <w:tab w:val="center" w:pos="4819"/>
        <w:tab w:val="right" w:pos="9639"/>
      </w:tabs>
    </w:pPr>
  </w:style>
  <w:style w:type="character" w:customStyle="1" w:styleId="a4">
    <w:name w:val="Нижній колонтитул Знак"/>
    <w:basedOn w:val="a0"/>
    <w:link w:val="a3"/>
    <w:uiPriority w:val="99"/>
    <w:rsid w:val="006C1578"/>
    <w:rPr>
      <w:rFonts w:ascii="Antiqua" w:eastAsia="Times New Roman" w:hAnsi="Antiqua" w:cs="Times New Roman"/>
      <w:sz w:val="26"/>
      <w:szCs w:val="20"/>
      <w:lang w:eastAsia="ru-RU"/>
    </w:rPr>
  </w:style>
  <w:style w:type="paragraph" w:styleId="a5">
    <w:name w:val="header"/>
    <w:basedOn w:val="a"/>
    <w:link w:val="a6"/>
    <w:uiPriority w:val="99"/>
    <w:unhideWhenUsed/>
    <w:rsid w:val="006C1578"/>
    <w:pPr>
      <w:tabs>
        <w:tab w:val="center" w:pos="4819"/>
        <w:tab w:val="right" w:pos="9639"/>
      </w:tabs>
    </w:pPr>
  </w:style>
  <w:style w:type="character" w:customStyle="1" w:styleId="a6">
    <w:name w:val="Верхній колонтитул Знак"/>
    <w:basedOn w:val="a0"/>
    <w:link w:val="a5"/>
    <w:uiPriority w:val="99"/>
    <w:rsid w:val="006C1578"/>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07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10</Pages>
  <Words>16519</Words>
  <Characters>9416</Characters>
  <Application>Microsoft Office Word</Application>
  <DocSecurity>0</DocSecurity>
  <Lines>78</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2023-04-14T08:56:00Z</dcterms:created>
  <dcterms:modified xsi:type="dcterms:W3CDTF">2025-05-22T10:43:00Z</dcterms:modified>
</cp:coreProperties>
</file>