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6F557D">
        <w:rPr>
          <w:sz w:val="24"/>
          <w:szCs w:val="24"/>
          <w:u w:val="single"/>
          <w:lang w:val="en-US"/>
        </w:rPr>
        <w:t>UA</w:t>
      </w:r>
      <w:r w:rsidRPr="006F557D">
        <w:rPr>
          <w:sz w:val="24"/>
          <w:szCs w:val="24"/>
          <w:u w:val="single"/>
          <w:lang w:val="ru-RU"/>
        </w:rPr>
        <w:t>-202</w:t>
      </w:r>
      <w:r w:rsidR="00307378">
        <w:rPr>
          <w:sz w:val="24"/>
          <w:szCs w:val="24"/>
          <w:u w:val="single"/>
          <w:lang w:val="ru-RU"/>
        </w:rPr>
        <w:t>5</w:t>
      </w:r>
      <w:r w:rsidRPr="006F557D">
        <w:rPr>
          <w:sz w:val="24"/>
          <w:szCs w:val="24"/>
          <w:u w:val="single"/>
          <w:lang w:val="ru-RU"/>
        </w:rPr>
        <w:t>-</w:t>
      </w:r>
      <w:r w:rsidR="00770896">
        <w:rPr>
          <w:sz w:val="24"/>
          <w:szCs w:val="24"/>
          <w:u w:val="single"/>
        </w:rPr>
        <w:t>05</w:t>
      </w:r>
      <w:r w:rsidRPr="006F557D">
        <w:rPr>
          <w:sz w:val="24"/>
          <w:szCs w:val="24"/>
          <w:u w:val="single"/>
          <w:lang w:val="ru-RU"/>
        </w:rPr>
        <w:t>-</w:t>
      </w:r>
      <w:r w:rsidR="00545AAF">
        <w:rPr>
          <w:sz w:val="24"/>
          <w:szCs w:val="24"/>
          <w:u w:val="single"/>
        </w:rPr>
        <w:t>27</w:t>
      </w:r>
      <w:r w:rsidRPr="006F557D">
        <w:rPr>
          <w:sz w:val="24"/>
          <w:szCs w:val="24"/>
          <w:u w:val="single"/>
          <w:lang w:val="ru-RU"/>
        </w:rPr>
        <w:t>-</w:t>
      </w:r>
      <w:r w:rsidR="00545AAF">
        <w:rPr>
          <w:sz w:val="24"/>
          <w:szCs w:val="24"/>
          <w:u w:val="single"/>
          <w:lang w:val="ru-RU"/>
        </w:rPr>
        <w:t>012863</w:t>
      </w:r>
      <w:r w:rsidRPr="006F557D">
        <w:rPr>
          <w:sz w:val="24"/>
          <w:szCs w:val="24"/>
          <w:u w:val="single"/>
          <w:lang w:val="ru-RU"/>
        </w:rPr>
        <w:t>-</w:t>
      </w:r>
      <w:r w:rsidRPr="006F557D">
        <w:rPr>
          <w:sz w:val="24"/>
          <w:szCs w:val="24"/>
          <w:u w:val="single"/>
          <w:lang w:val="en-US"/>
        </w:rPr>
        <w:t>a</w:t>
      </w:r>
      <w:r w:rsidRPr="006F557D">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092F91" w:rsidRPr="00545AAF" w:rsidRDefault="0033663D" w:rsidP="00545AAF">
      <w:pPr>
        <w:jc w:val="both"/>
        <w:outlineLvl w:val="0"/>
        <w:rPr>
          <w:sz w:val="24"/>
          <w:szCs w:val="24"/>
        </w:rPr>
      </w:pPr>
      <w:r w:rsidRPr="00545AAF">
        <w:rPr>
          <w:color w:val="000000"/>
          <w:sz w:val="24"/>
          <w:szCs w:val="24"/>
          <w:lang w:eastAsia="ru-RU"/>
        </w:rPr>
        <w:t>«</w:t>
      </w:r>
      <w:r w:rsidR="00545AAF" w:rsidRPr="00545AAF">
        <w:rPr>
          <w:rFonts w:eastAsia="Batang" w:cs="Times New Roman"/>
          <w:color w:val="000000"/>
          <w:sz w:val="24"/>
          <w:szCs w:val="24"/>
          <w:lang w:eastAsia="ru-RU"/>
        </w:rPr>
        <w:t xml:space="preserve">Постачання програмної продукції </w:t>
      </w:r>
      <w:proofErr w:type="spellStart"/>
      <w:r w:rsidR="00545AAF" w:rsidRPr="00545AAF">
        <w:rPr>
          <w:rFonts w:eastAsia="Batang" w:cs="Times New Roman"/>
          <w:color w:val="000000"/>
          <w:sz w:val="24"/>
          <w:szCs w:val="24"/>
          <w:lang w:eastAsia="ru-RU"/>
        </w:rPr>
        <w:t>Confluence</w:t>
      </w:r>
      <w:proofErr w:type="spellEnd"/>
      <w:r w:rsidR="00545AAF" w:rsidRPr="00545AAF">
        <w:rPr>
          <w:rFonts w:eastAsia="Batang" w:cs="Times New Roman"/>
          <w:color w:val="000000"/>
          <w:sz w:val="24"/>
          <w:szCs w:val="24"/>
          <w:lang w:eastAsia="ru-RU"/>
        </w:rPr>
        <w:t xml:space="preserve"> (</w:t>
      </w:r>
      <w:proofErr w:type="spellStart"/>
      <w:r w:rsidR="00545AAF" w:rsidRPr="00545AAF">
        <w:rPr>
          <w:rFonts w:eastAsia="Batang" w:cs="Times New Roman"/>
          <w:color w:val="000000"/>
          <w:sz w:val="24"/>
          <w:szCs w:val="24"/>
          <w:lang w:eastAsia="ru-RU"/>
        </w:rPr>
        <w:t>Cloud</w:t>
      </w:r>
      <w:proofErr w:type="spellEnd"/>
      <w:r w:rsidR="00545AAF" w:rsidRPr="00545AAF">
        <w:rPr>
          <w:rFonts w:eastAsia="Batang" w:cs="Times New Roman"/>
          <w:color w:val="000000"/>
          <w:sz w:val="24"/>
          <w:szCs w:val="24"/>
          <w:lang w:eastAsia="ru-RU"/>
        </w:rPr>
        <w:t xml:space="preserve">) Premium для 50 користувачів та програмної продукції </w:t>
      </w:r>
      <w:proofErr w:type="spellStart"/>
      <w:r w:rsidR="00545AAF" w:rsidRPr="00545AAF">
        <w:rPr>
          <w:rFonts w:eastAsia="Batang" w:cs="Times New Roman"/>
          <w:color w:val="000000"/>
          <w:sz w:val="24"/>
          <w:szCs w:val="24"/>
          <w:lang w:eastAsia="ru-RU"/>
        </w:rPr>
        <w:t>Jira</w:t>
      </w:r>
      <w:proofErr w:type="spellEnd"/>
      <w:r w:rsidR="00545AAF" w:rsidRPr="00545AAF">
        <w:rPr>
          <w:rFonts w:eastAsia="Batang" w:cs="Times New Roman"/>
          <w:color w:val="000000"/>
          <w:sz w:val="24"/>
          <w:szCs w:val="24"/>
          <w:lang w:eastAsia="ru-RU"/>
        </w:rPr>
        <w:t xml:space="preserve"> (</w:t>
      </w:r>
      <w:proofErr w:type="spellStart"/>
      <w:r w:rsidR="00545AAF" w:rsidRPr="00545AAF">
        <w:rPr>
          <w:rFonts w:eastAsia="Batang" w:cs="Times New Roman"/>
          <w:color w:val="000000"/>
          <w:sz w:val="24"/>
          <w:szCs w:val="24"/>
          <w:lang w:eastAsia="ru-RU"/>
        </w:rPr>
        <w:t>Cloud</w:t>
      </w:r>
      <w:proofErr w:type="spellEnd"/>
      <w:r w:rsidR="00545AAF" w:rsidRPr="00545AAF">
        <w:rPr>
          <w:rFonts w:eastAsia="Batang" w:cs="Times New Roman"/>
          <w:color w:val="000000"/>
          <w:sz w:val="24"/>
          <w:szCs w:val="24"/>
          <w:lang w:eastAsia="ru-RU"/>
        </w:rPr>
        <w:t>) Premium для 50 користувачів за кодом ДК 021:2015-72260000-5 (Послуги, пов’язані з програмним забезпеченням)</w:t>
      </w:r>
      <w:r w:rsidR="00545AAF" w:rsidRPr="00545AAF">
        <w:rPr>
          <w:rFonts w:eastAsia="Times New Roman" w:cs="Times New Roman"/>
          <w:sz w:val="24"/>
          <w:szCs w:val="24"/>
          <w:lang w:eastAsia="ru-RU"/>
        </w:rPr>
        <w:t xml:space="preserve"> (</w:t>
      </w:r>
      <w:r w:rsidR="00545AAF" w:rsidRPr="00545AAF">
        <w:rPr>
          <w:rFonts w:eastAsia="Times New Roman" w:cs="Times New Roman"/>
          <w:sz w:val="24"/>
          <w:szCs w:val="24"/>
          <w:lang w:eastAsia="zh-CN"/>
        </w:rPr>
        <w:t>ДК 021:2015-72260000-5 Послуги, пов’язані з програмним забезпеченням</w:t>
      </w:r>
      <w:r w:rsidR="00545AAF" w:rsidRPr="00545AAF">
        <w:rPr>
          <w:rFonts w:eastAsia="Batang" w:cs="Times New Roman"/>
          <w:sz w:val="24"/>
          <w:szCs w:val="24"/>
          <w:lang w:eastAsia="uk-UA"/>
        </w:rPr>
        <w:t xml:space="preserve"> (Постачання програмної продукції </w:t>
      </w:r>
      <w:proofErr w:type="spellStart"/>
      <w:r w:rsidR="00545AAF" w:rsidRPr="00545AAF">
        <w:rPr>
          <w:rFonts w:eastAsia="Batang" w:cs="Times New Roman"/>
          <w:sz w:val="24"/>
          <w:szCs w:val="24"/>
          <w:lang w:eastAsia="uk-UA"/>
        </w:rPr>
        <w:t>Confluence</w:t>
      </w:r>
      <w:proofErr w:type="spellEnd"/>
      <w:r w:rsidR="00545AAF" w:rsidRPr="00545AAF">
        <w:rPr>
          <w:rFonts w:eastAsia="Batang" w:cs="Times New Roman"/>
          <w:sz w:val="24"/>
          <w:szCs w:val="24"/>
          <w:lang w:eastAsia="uk-UA"/>
        </w:rPr>
        <w:t xml:space="preserve"> (</w:t>
      </w:r>
      <w:proofErr w:type="spellStart"/>
      <w:r w:rsidR="00545AAF" w:rsidRPr="00545AAF">
        <w:rPr>
          <w:rFonts w:eastAsia="Batang" w:cs="Times New Roman"/>
          <w:sz w:val="24"/>
          <w:szCs w:val="24"/>
          <w:lang w:eastAsia="uk-UA"/>
        </w:rPr>
        <w:t>Cloud</w:t>
      </w:r>
      <w:proofErr w:type="spellEnd"/>
      <w:r w:rsidR="00545AAF" w:rsidRPr="00545AAF">
        <w:rPr>
          <w:rFonts w:eastAsia="Batang" w:cs="Times New Roman"/>
          <w:sz w:val="24"/>
          <w:szCs w:val="24"/>
          <w:lang w:eastAsia="uk-UA"/>
        </w:rPr>
        <w:t xml:space="preserve">) Premium для 50 користувачів та програмної продукції </w:t>
      </w:r>
      <w:proofErr w:type="spellStart"/>
      <w:r w:rsidR="00545AAF" w:rsidRPr="00545AAF">
        <w:rPr>
          <w:rFonts w:eastAsia="Batang" w:cs="Times New Roman"/>
          <w:sz w:val="24"/>
          <w:szCs w:val="24"/>
          <w:lang w:eastAsia="uk-UA"/>
        </w:rPr>
        <w:t>Jira</w:t>
      </w:r>
      <w:proofErr w:type="spellEnd"/>
      <w:r w:rsidR="00545AAF" w:rsidRPr="00545AAF">
        <w:rPr>
          <w:rFonts w:eastAsia="Batang" w:cs="Times New Roman"/>
          <w:sz w:val="24"/>
          <w:szCs w:val="24"/>
          <w:lang w:eastAsia="uk-UA"/>
        </w:rPr>
        <w:t xml:space="preserve"> (</w:t>
      </w:r>
      <w:proofErr w:type="spellStart"/>
      <w:r w:rsidR="00545AAF" w:rsidRPr="00545AAF">
        <w:rPr>
          <w:rFonts w:eastAsia="Batang" w:cs="Times New Roman"/>
          <w:sz w:val="24"/>
          <w:szCs w:val="24"/>
          <w:lang w:eastAsia="uk-UA"/>
        </w:rPr>
        <w:t>Cloud</w:t>
      </w:r>
      <w:proofErr w:type="spellEnd"/>
      <w:r w:rsidR="00545AAF" w:rsidRPr="00545AAF">
        <w:rPr>
          <w:rFonts w:eastAsia="Batang" w:cs="Times New Roman"/>
          <w:sz w:val="24"/>
          <w:szCs w:val="24"/>
          <w:lang w:eastAsia="uk-UA"/>
        </w:rPr>
        <w:t>) Premium для 50 користувачів)</w:t>
      </w:r>
      <w:r w:rsidR="00092F91" w:rsidRPr="00545AAF">
        <w:rPr>
          <w:sz w:val="24"/>
          <w:szCs w:val="24"/>
        </w:rPr>
        <w:t>»</w:t>
      </w:r>
    </w:p>
    <w:p w:rsidR="00770896" w:rsidRDefault="00770896"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Відповідно до пункту 4 розділу І Положення про Єдину автоматизовану інформаційну систему митних органів, порядок і умови застосування її систем, затвердженого наказом Міністерства фінансів України від 19 травня 2023 року № 263, зареєстрованим в Міністерстві юстиції України 03 липня 2023 року за № 1132/40188, розвиток Єдиної автоматизованої інформаційної системи митних органів (далі – ЄАІС) здійснюється відповідно до стратегічних документів з інформаційних технологій (далі – IT) для Держмитслужби та її територіальних органів, з урахуванням вимог додатка XV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ратифікованої Законом України від 16 вересня 2014 року № 1678-VII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 частині змін до законодавства України з питань митної справи, які впроваджуються на шляху до вступу України до Європейського Союзу та адаптації митних IT-систем України до митних IT-систем Євросоюзу.</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Згідно з пунктом 5.2.5 розділу «Митне адміністрування» Національної стратегії доходів, схваленої розпорядженням Кабінету Міністрів України від 27 грудня 2023 року № 1218-р, розвиток ІТ митних органів здійснюється згідно з довгостроковим національним стратегічним планом цифрового розвитку, цифрових трансформацій і </w:t>
      </w:r>
      <w:proofErr w:type="spellStart"/>
      <w:r w:rsidRPr="00545AAF">
        <w:rPr>
          <w:rFonts w:cs="Times New Roman"/>
          <w:sz w:val="24"/>
          <w:szCs w:val="24"/>
        </w:rPr>
        <w:t>цифровізації</w:t>
      </w:r>
      <w:proofErr w:type="spellEnd"/>
      <w:r w:rsidRPr="00545AAF">
        <w:rPr>
          <w:rFonts w:cs="Times New Roman"/>
          <w:sz w:val="24"/>
          <w:szCs w:val="24"/>
        </w:rPr>
        <w:t xml:space="preserve"> Держмитслужби та її територіальних підрозділів на основі багаторічного стратегічного плану митниці ЄС (</w:t>
      </w:r>
      <w:proofErr w:type="spellStart"/>
      <w:r w:rsidRPr="00545AAF">
        <w:rPr>
          <w:rFonts w:cs="Times New Roman"/>
          <w:sz w:val="24"/>
          <w:szCs w:val="24"/>
        </w:rPr>
        <w:t>multi-annual</w:t>
      </w:r>
      <w:proofErr w:type="spellEnd"/>
      <w:r w:rsidRPr="00545AAF">
        <w:rPr>
          <w:rFonts w:cs="Times New Roman"/>
          <w:sz w:val="24"/>
          <w:szCs w:val="24"/>
        </w:rPr>
        <w:t xml:space="preserve"> </w:t>
      </w:r>
      <w:proofErr w:type="spellStart"/>
      <w:r w:rsidRPr="00545AAF">
        <w:rPr>
          <w:rFonts w:cs="Times New Roman"/>
          <w:sz w:val="24"/>
          <w:szCs w:val="24"/>
        </w:rPr>
        <w:t>strategic</w:t>
      </w:r>
      <w:proofErr w:type="spellEnd"/>
      <w:r w:rsidRPr="00545AAF">
        <w:rPr>
          <w:rFonts w:cs="Times New Roman"/>
          <w:sz w:val="24"/>
          <w:szCs w:val="24"/>
        </w:rPr>
        <w:t xml:space="preserve"> </w:t>
      </w:r>
      <w:proofErr w:type="spellStart"/>
      <w:r w:rsidRPr="00545AAF">
        <w:rPr>
          <w:rFonts w:cs="Times New Roman"/>
          <w:sz w:val="24"/>
          <w:szCs w:val="24"/>
        </w:rPr>
        <w:t>plan</w:t>
      </w:r>
      <w:proofErr w:type="spellEnd"/>
      <w:r w:rsidRPr="00545AAF">
        <w:rPr>
          <w:rFonts w:cs="Times New Roman"/>
          <w:sz w:val="24"/>
          <w:szCs w:val="24"/>
        </w:rPr>
        <w:t xml:space="preserve"> </w:t>
      </w:r>
      <w:proofErr w:type="spellStart"/>
      <w:r w:rsidRPr="00545AAF">
        <w:rPr>
          <w:rFonts w:cs="Times New Roman"/>
          <w:sz w:val="24"/>
          <w:szCs w:val="24"/>
        </w:rPr>
        <w:t>for</w:t>
      </w:r>
      <w:proofErr w:type="spellEnd"/>
      <w:r w:rsidRPr="00545AAF">
        <w:rPr>
          <w:rFonts w:cs="Times New Roman"/>
          <w:sz w:val="24"/>
          <w:szCs w:val="24"/>
        </w:rPr>
        <w:t xml:space="preserve"> </w:t>
      </w:r>
      <w:proofErr w:type="spellStart"/>
      <w:r w:rsidRPr="00545AAF">
        <w:rPr>
          <w:rFonts w:cs="Times New Roman"/>
          <w:sz w:val="24"/>
          <w:szCs w:val="24"/>
        </w:rPr>
        <w:t>customs</w:t>
      </w:r>
      <w:proofErr w:type="spellEnd"/>
      <w:r w:rsidRPr="00545AAF">
        <w:rPr>
          <w:rFonts w:cs="Times New Roman"/>
          <w:sz w:val="24"/>
          <w:szCs w:val="24"/>
        </w:rPr>
        <w:t>, MASP-C).</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Для подальшого цифрового розвитку митних процесів Держмитслужба розробила Довгостроковий національний стратегічний план цифрового розвитку, цифрових трансформацій і </w:t>
      </w:r>
      <w:proofErr w:type="spellStart"/>
      <w:r w:rsidRPr="00545AAF">
        <w:rPr>
          <w:rFonts w:cs="Times New Roman"/>
          <w:sz w:val="24"/>
          <w:szCs w:val="24"/>
        </w:rPr>
        <w:t>цифровізації</w:t>
      </w:r>
      <w:proofErr w:type="spellEnd"/>
      <w:r w:rsidRPr="00545AAF">
        <w:rPr>
          <w:rFonts w:cs="Times New Roman"/>
          <w:sz w:val="24"/>
          <w:szCs w:val="24"/>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545AAF">
        <w:rPr>
          <w:rFonts w:cs="Times New Roman"/>
          <w:sz w:val="24"/>
          <w:szCs w:val="24"/>
        </w:rPr>
        <w:t>Multi-annual</w:t>
      </w:r>
      <w:proofErr w:type="spellEnd"/>
      <w:r w:rsidRPr="00545AAF">
        <w:rPr>
          <w:rFonts w:cs="Times New Roman"/>
          <w:sz w:val="24"/>
          <w:szCs w:val="24"/>
        </w:rPr>
        <w:t xml:space="preserve"> </w:t>
      </w:r>
      <w:proofErr w:type="spellStart"/>
      <w:r w:rsidRPr="00545AAF">
        <w:rPr>
          <w:rFonts w:cs="Times New Roman"/>
          <w:sz w:val="24"/>
          <w:szCs w:val="24"/>
        </w:rPr>
        <w:t>strategic</w:t>
      </w:r>
      <w:proofErr w:type="spellEnd"/>
      <w:r w:rsidRPr="00545AAF">
        <w:rPr>
          <w:rFonts w:cs="Times New Roman"/>
          <w:sz w:val="24"/>
          <w:szCs w:val="24"/>
        </w:rPr>
        <w:t xml:space="preserve"> </w:t>
      </w:r>
      <w:proofErr w:type="spellStart"/>
      <w:r w:rsidRPr="00545AAF">
        <w:rPr>
          <w:rFonts w:cs="Times New Roman"/>
          <w:sz w:val="24"/>
          <w:szCs w:val="24"/>
        </w:rPr>
        <w:t>plan</w:t>
      </w:r>
      <w:proofErr w:type="spellEnd"/>
      <w:r w:rsidRPr="00545AAF">
        <w:rPr>
          <w:rFonts w:cs="Times New Roman"/>
          <w:sz w:val="24"/>
          <w:szCs w:val="24"/>
        </w:rPr>
        <w:t xml:space="preserve"> </w:t>
      </w:r>
      <w:proofErr w:type="spellStart"/>
      <w:r w:rsidRPr="00545AAF">
        <w:rPr>
          <w:rFonts w:cs="Times New Roman"/>
          <w:sz w:val="24"/>
          <w:szCs w:val="24"/>
        </w:rPr>
        <w:t>for</w:t>
      </w:r>
      <w:proofErr w:type="spellEnd"/>
      <w:r w:rsidRPr="00545AAF">
        <w:rPr>
          <w:rFonts w:cs="Times New Roman"/>
          <w:sz w:val="24"/>
          <w:szCs w:val="24"/>
        </w:rPr>
        <w:t xml:space="preserve"> </w:t>
      </w:r>
      <w:proofErr w:type="spellStart"/>
      <w:r w:rsidRPr="00545AAF">
        <w:rPr>
          <w:rFonts w:cs="Times New Roman"/>
          <w:sz w:val="24"/>
          <w:szCs w:val="24"/>
        </w:rPr>
        <w:t>electronic</w:t>
      </w:r>
      <w:proofErr w:type="spellEnd"/>
      <w:r w:rsidRPr="00545AAF">
        <w:rPr>
          <w:rFonts w:cs="Times New Roman"/>
          <w:sz w:val="24"/>
          <w:szCs w:val="24"/>
        </w:rPr>
        <w:t xml:space="preserve"> </w:t>
      </w:r>
      <w:proofErr w:type="spellStart"/>
      <w:r w:rsidRPr="00545AAF">
        <w:rPr>
          <w:rFonts w:cs="Times New Roman"/>
          <w:sz w:val="24"/>
          <w:szCs w:val="24"/>
        </w:rPr>
        <w:t>customs</w:t>
      </w:r>
      <w:proofErr w:type="spellEnd"/>
      <w:r w:rsidRPr="00545AAF">
        <w:rPr>
          <w:rFonts w:cs="Times New Roman"/>
          <w:sz w:val="24"/>
          <w:szCs w:val="24"/>
        </w:rPr>
        <w:t>, MASP-C) (далі – Стратегічний план).</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Стратегічний план, затверджений рішенням Комітету з управління інформаційними технологіями у системі управління державними фінансами (протокол № 6 від 19.01.2024), реалізованим наказом Міністерства фінансів України від 09 лютого 2024 року № 63.</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Метою Стратегічного плану є:</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lastRenderedPageBreak/>
        <w:t>ефективне адміністрування заходів і ресурсів, потрібних для досягнення цілей цифрової трансформації;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результативне та узгоджене управління ІТ-проектами, встановлюючи як стратегічну структуру, так і етапи реалізації відповідних систем;</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обґрунтування бюджетних запитів Держмитслужби з урахуванням Методики визначення належності бюджетних програм, завдань, проектів, робіт до сфери інформатизації, затвердженої наказом Міністерства цифрової трансформації України від 29 березня 2023 року № 34, зареєстрованим в Міністерстві юстиції України 14 квітня 2023 року за № 625/39681;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забезпечення загального управління правовими, операційними (опис ділових процесів) та технічними аспектами нових ІТ-проектів у сфері </w:t>
      </w:r>
      <w:proofErr w:type="spellStart"/>
      <w:r w:rsidRPr="00545AAF">
        <w:rPr>
          <w:rFonts w:cs="Times New Roman"/>
          <w:sz w:val="24"/>
          <w:szCs w:val="24"/>
        </w:rPr>
        <w:t>цифровізації</w:t>
      </w:r>
      <w:proofErr w:type="spellEnd"/>
      <w:r w:rsidRPr="00545AAF">
        <w:rPr>
          <w:rFonts w:cs="Times New Roman"/>
          <w:sz w:val="24"/>
          <w:szCs w:val="24"/>
        </w:rPr>
        <w:t xml:space="preserve"> митних органів.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Відповідно до Стратегічного плану одним з ключових принципів впровадження ІТ в Держмитслужбі визначений принцип ІТ-управління, який передбачає впровадження нової моделі управління ІТ з використанням сучасних підходів до управління </w:t>
      </w:r>
      <w:proofErr w:type="spellStart"/>
      <w:r w:rsidRPr="00545AAF">
        <w:rPr>
          <w:rFonts w:cs="Times New Roman"/>
          <w:sz w:val="24"/>
          <w:szCs w:val="24"/>
        </w:rPr>
        <w:t>проєктами</w:t>
      </w:r>
      <w:proofErr w:type="spellEnd"/>
      <w:r w:rsidRPr="00545AAF">
        <w:rPr>
          <w:rFonts w:cs="Times New Roman"/>
          <w:sz w:val="24"/>
          <w:szCs w:val="24"/>
        </w:rPr>
        <w:t xml:space="preserve"> для забезпечення ефективної роботи ІТ-підрозділів, узгодженості та контрольованості ІТ-</w:t>
      </w:r>
      <w:proofErr w:type="spellStart"/>
      <w:r w:rsidRPr="00545AAF">
        <w:rPr>
          <w:rFonts w:cs="Times New Roman"/>
          <w:sz w:val="24"/>
          <w:szCs w:val="24"/>
        </w:rPr>
        <w:t>проєктів</w:t>
      </w:r>
      <w:proofErr w:type="spellEnd"/>
      <w:r w:rsidRPr="00545AAF">
        <w:rPr>
          <w:rFonts w:cs="Times New Roman"/>
          <w:sz w:val="24"/>
          <w:szCs w:val="24"/>
        </w:rPr>
        <w:t>, синергії від використання спільних рішень, підвищення керованості ІТ-процесів та оперативності доступу до інформації.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Згідно з пунктом 4 Обов’язкових вимог до створення (модернізації, модифікації, розвитку), адміністрування та забезпечення функціонування засобу інформатизації, затверджених постановою Кабінету Міністрів України від 21 лютого 2025 р. № 205, (далі – Обов’язкові вимоги) створення (модернізація, модифікація, розвиток), адміністрування та забезпечення функціонування засобу інформатизації може здійснюватися на виконання актів законодавства з урахуванням потреб замовника. Роботи та послуги із створення (модернізації, модифікації, розвитку), адміністрування та забезпечення функціонування засобу інформатизації можуть виконуватися та надаватися замовником самостійно або за результатами закупівлі відповідно до законодавства у сфері публічних закупівель.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Згідно з пунктом 7 Обов’язкових вимог під час створення (модернізації, модифікації, розвитку), адміністрування та забезпечення функціонування засобу інформатизації замовник та/або технічний адміністратор засобу інформатизації може використовувати програмні продукти для управління проектами. Розроблення, погодження та затвердження документації може також здійснюватися в електронній формі відповідно до Закону України «Про електронні документи та електронний документообіг».</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Поряд з цим, у Стратегії реформування системи публічних закупівель на 2024-2026 роки, схваленої розпорядженням Кабінету Міністрів України від 02 лютого 2024 року № 76-р, зазначено, що важливим напрямом публічних закупівель є подальший розвиток електронної системи закупівель, запровадження нових інструментів, </w:t>
      </w:r>
      <w:proofErr w:type="spellStart"/>
      <w:r w:rsidRPr="00545AAF">
        <w:rPr>
          <w:rFonts w:cs="Times New Roman"/>
          <w:sz w:val="24"/>
          <w:szCs w:val="24"/>
        </w:rPr>
        <w:t>цифровізація</w:t>
      </w:r>
      <w:proofErr w:type="spellEnd"/>
      <w:r w:rsidRPr="00545AAF">
        <w:rPr>
          <w:rFonts w:cs="Times New Roman"/>
          <w:sz w:val="24"/>
          <w:szCs w:val="24"/>
        </w:rPr>
        <w:t xml:space="preserve"> процесів, що є запорукою підвищення рівня прозорості дій замовників, зменшення ризиків дискримінації суб’єктів господарювання під час участі в публічних </w:t>
      </w:r>
      <w:proofErr w:type="spellStart"/>
      <w:r w:rsidRPr="00545AAF">
        <w:rPr>
          <w:rFonts w:cs="Times New Roman"/>
          <w:sz w:val="24"/>
          <w:szCs w:val="24"/>
        </w:rPr>
        <w:t>закупівлях</w:t>
      </w:r>
      <w:proofErr w:type="spellEnd"/>
      <w:r w:rsidRPr="00545AAF">
        <w:rPr>
          <w:rFonts w:cs="Times New Roman"/>
          <w:sz w:val="24"/>
          <w:szCs w:val="24"/>
        </w:rPr>
        <w:t>, зменшення операційних витрат замовників та учасників в процесі проведення закупівлі.</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На сьогодні посадові особи Держмитслужби під час управління</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 ІТ-проектами та організації публічних закупівель засобів інформатизації, спеціалізованих програмних та технічних засобів (технологічних сервісів) </w:t>
      </w:r>
      <w:proofErr w:type="spellStart"/>
      <w:r w:rsidRPr="00545AAF">
        <w:rPr>
          <w:rFonts w:cs="Times New Roman"/>
          <w:sz w:val="24"/>
          <w:szCs w:val="24"/>
        </w:rPr>
        <w:t>кіберзахисту</w:t>
      </w:r>
      <w:proofErr w:type="spellEnd"/>
      <w:r w:rsidRPr="00545AAF">
        <w:rPr>
          <w:rFonts w:cs="Times New Roman"/>
          <w:sz w:val="24"/>
          <w:szCs w:val="24"/>
        </w:rPr>
        <w:t xml:space="preserve"> та інформаційної безпеки, послуг у сфері інформаційних технологій та інформаційної безпеки стикаються з низкою проблем, зокрема: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відсутністю єдиного централізованого інструменту для планування, координації та моніторингу ІТ-проектів й закупівель, що призводить до </w:t>
      </w:r>
      <w:proofErr w:type="spellStart"/>
      <w:r w:rsidRPr="00545AAF">
        <w:rPr>
          <w:rFonts w:cs="Times New Roman"/>
          <w:sz w:val="24"/>
          <w:szCs w:val="24"/>
        </w:rPr>
        <w:t>фрагментованості</w:t>
      </w:r>
      <w:proofErr w:type="spellEnd"/>
      <w:r w:rsidRPr="00545AAF">
        <w:rPr>
          <w:rFonts w:cs="Times New Roman"/>
          <w:sz w:val="24"/>
          <w:szCs w:val="24"/>
        </w:rPr>
        <w:t xml:space="preserve"> інформації;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складністю ведення документації, узгодження завдань і комунікації між учасниками ІТ-проектів й закупівель, іншими учасниками, які супроводжують життєвий цикл ІТ-продуктів;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недостатньою прозорістю та контрольованістю виконання завдань;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зниженням ефективності у плануванні закупівель, супроводі процедур та управлінні договорами через відсутність цифрових інструментів для </w:t>
      </w:r>
      <w:proofErr w:type="spellStart"/>
      <w:r w:rsidRPr="00545AAF">
        <w:rPr>
          <w:rFonts w:cs="Times New Roman"/>
          <w:sz w:val="24"/>
          <w:szCs w:val="24"/>
        </w:rPr>
        <w:t>відстежування</w:t>
      </w:r>
      <w:proofErr w:type="spellEnd"/>
      <w:r w:rsidRPr="00545AAF">
        <w:rPr>
          <w:rFonts w:cs="Times New Roman"/>
          <w:sz w:val="24"/>
          <w:szCs w:val="24"/>
        </w:rPr>
        <w:t xml:space="preserve"> статусу процедур та аналітики ризиків.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Впровадження програмної продукції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дозволить усунути зазначені проблеми.</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lastRenderedPageBreak/>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 це розширене рішення для управління проектами та завданнями, що забезпечує можливість автоматизації робочих процесів, створення дорожніх карт (</w:t>
      </w:r>
      <w:proofErr w:type="spellStart"/>
      <w:r w:rsidRPr="00545AAF">
        <w:rPr>
          <w:rFonts w:cs="Times New Roman"/>
          <w:sz w:val="24"/>
          <w:szCs w:val="24"/>
        </w:rPr>
        <w:t>roadmaps</w:t>
      </w:r>
      <w:proofErr w:type="spellEnd"/>
      <w:r w:rsidRPr="00545AAF">
        <w:rPr>
          <w:rFonts w:cs="Times New Roman"/>
          <w:sz w:val="24"/>
          <w:szCs w:val="24"/>
        </w:rPr>
        <w:t xml:space="preserve">) для координації між командами, інтеграцію з іншими системами, аналітику виконання задач і </w:t>
      </w:r>
      <w:proofErr w:type="spellStart"/>
      <w:r w:rsidRPr="00545AAF">
        <w:rPr>
          <w:rFonts w:cs="Times New Roman"/>
          <w:sz w:val="24"/>
          <w:szCs w:val="24"/>
        </w:rPr>
        <w:t>пріоритизацію</w:t>
      </w:r>
      <w:proofErr w:type="spellEnd"/>
      <w:r w:rsidRPr="00545AAF">
        <w:rPr>
          <w:rFonts w:cs="Times New Roman"/>
          <w:sz w:val="24"/>
          <w:szCs w:val="24"/>
        </w:rPr>
        <w:t xml:space="preserve"> робіт. Платформа підтримує контроль SLA, прогнозування строків виконання та звітність у реальному часі.</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 це корпоративна платформа для створення, зберігання й організації знань та документації проектів. Вона надає інструменти для спільної роботи над документами, узгодження технічних завдань, проведення обговорень і затвердження рішень в електронній формі. Також передбачає розширені можливості контролю доступу, аналітики користувацької активності та резервного копіювання даних.</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Важливою перевагою є високий рівень інтеграції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що дозволяє:</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створювати завдання </w:t>
      </w:r>
      <w:proofErr w:type="spellStart"/>
      <w:r w:rsidRPr="00545AAF">
        <w:rPr>
          <w:rFonts w:cs="Times New Roman"/>
          <w:sz w:val="24"/>
          <w:szCs w:val="24"/>
        </w:rPr>
        <w:t>Jira</w:t>
      </w:r>
      <w:proofErr w:type="spellEnd"/>
      <w:r w:rsidRPr="00545AAF">
        <w:rPr>
          <w:rFonts w:cs="Times New Roman"/>
          <w:sz w:val="24"/>
          <w:szCs w:val="24"/>
        </w:rPr>
        <w:t xml:space="preserve"> безпосередньо з документів </w:t>
      </w:r>
      <w:proofErr w:type="spellStart"/>
      <w:r w:rsidRPr="00545AAF">
        <w:rPr>
          <w:rFonts w:cs="Times New Roman"/>
          <w:sz w:val="24"/>
          <w:szCs w:val="24"/>
        </w:rPr>
        <w:t>Confluence</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автоматично відображати статуси завдань і прогрес проектів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(ІТ-проектів та </w:t>
      </w:r>
      <w:proofErr w:type="spellStart"/>
      <w:r w:rsidRPr="00545AAF">
        <w:rPr>
          <w:rFonts w:cs="Times New Roman"/>
          <w:sz w:val="24"/>
          <w:szCs w:val="24"/>
        </w:rPr>
        <w:t>закупівель</w:t>
      </w:r>
      <w:proofErr w:type="spellEnd"/>
      <w:r w:rsidRPr="00545AAF">
        <w:rPr>
          <w:rFonts w:cs="Times New Roman"/>
          <w:sz w:val="24"/>
          <w:szCs w:val="24"/>
        </w:rPr>
        <w:t xml:space="preserve">) у просторах </w:t>
      </w:r>
      <w:proofErr w:type="spellStart"/>
      <w:r w:rsidRPr="00545AAF">
        <w:rPr>
          <w:rFonts w:cs="Times New Roman"/>
          <w:sz w:val="24"/>
          <w:szCs w:val="24"/>
        </w:rPr>
        <w:t>Confluence</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пов’язувати документи та завдання із відповідними проектними й закупівельними етапами в </w:t>
      </w:r>
      <w:proofErr w:type="spellStart"/>
      <w:r w:rsidRPr="00545AAF">
        <w:rPr>
          <w:rFonts w:cs="Times New Roman"/>
          <w:sz w:val="24"/>
          <w:szCs w:val="24"/>
        </w:rPr>
        <w:t>Jira</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спрощувати навігацію між документацією та завданнями;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забезпечувати єдину точку доступу до всієї інформації щодо проекту (ІТ-проекту та закупівлі) для всіх учасників команд.</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Використання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і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забезпечить: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централізоване управління ІТ-проектами й </w:t>
      </w:r>
      <w:proofErr w:type="spellStart"/>
      <w:r w:rsidRPr="00545AAF">
        <w:rPr>
          <w:rFonts w:cs="Times New Roman"/>
          <w:sz w:val="24"/>
          <w:szCs w:val="24"/>
        </w:rPr>
        <w:t>закупівлями</w:t>
      </w:r>
      <w:proofErr w:type="spellEnd"/>
      <w:r w:rsidRPr="00545AAF">
        <w:rPr>
          <w:rFonts w:cs="Times New Roman"/>
          <w:sz w:val="24"/>
          <w:szCs w:val="24"/>
        </w:rPr>
        <w:t xml:space="preserve"> засобів інформатизації, спеціалізованих програмних та технічних засобів (технологічних сервісів) </w:t>
      </w:r>
      <w:proofErr w:type="spellStart"/>
      <w:r w:rsidRPr="00545AAF">
        <w:rPr>
          <w:rFonts w:cs="Times New Roman"/>
          <w:sz w:val="24"/>
          <w:szCs w:val="24"/>
        </w:rPr>
        <w:t>кіберзахисту</w:t>
      </w:r>
      <w:proofErr w:type="spellEnd"/>
      <w:r w:rsidRPr="00545AAF">
        <w:rPr>
          <w:rFonts w:cs="Times New Roman"/>
          <w:sz w:val="24"/>
          <w:szCs w:val="24"/>
        </w:rPr>
        <w:t xml:space="preserve"> та інформаційної безпеки, послуг у сфері інформаційних технологій та інформаційної безпеки;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прозорість у виконанні проектних планів та закупівельних процедур;</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оптимізацію комунікації між підрозділами та членами команд;</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t>цифровізацію</w:t>
      </w:r>
      <w:proofErr w:type="spellEnd"/>
      <w:r w:rsidRPr="00545AAF">
        <w:rPr>
          <w:rFonts w:cs="Times New Roman"/>
          <w:sz w:val="24"/>
          <w:szCs w:val="24"/>
        </w:rPr>
        <w:t xml:space="preserve"> документообігу;</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підвищення ефективності, точності та швидкості прийняття управлінських рішень.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У Держмитслужбі функціонує система електронного документообігу Державної митної служби України (далі – СЕД) на базі програмного забезпечення «АСКОД Корпоративний», «АСКОД WEB» та «АСКОД АРМ Керівника», яка забезпечує централізоване зберігання документів, їх погодження, підписання, контроль версій службових документів. Вона дозволяє організовувати офіційне листування, погодження внутрішніх документів та контроль за їх виконанням у межах повноважень користувачів.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Водночас СЕД на базі програмної продукції АСКОД не забезпечує повноцінної підтримки управління ІТ-проектами, </w:t>
      </w:r>
      <w:proofErr w:type="spellStart"/>
      <w:r w:rsidRPr="00545AAF">
        <w:rPr>
          <w:rFonts w:cs="Times New Roman"/>
          <w:sz w:val="24"/>
          <w:szCs w:val="24"/>
        </w:rPr>
        <w:t>закупівлями</w:t>
      </w:r>
      <w:proofErr w:type="spellEnd"/>
      <w:r w:rsidRPr="00545AAF">
        <w:rPr>
          <w:rFonts w:cs="Times New Roman"/>
          <w:sz w:val="24"/>
          <w:szCs w:val="24"/>
        </w:rPr>
        <w:t xml:space="preserve"> та документацією, яка змінюється </w:t>
      </w:r>
      <w:proofErr w:type="spellStart"/>
      <w:r w:rsidRPr="00545AAF">
        <w:rPr>
          <w:rFonts w:cs="Times New Roman"/>
          <w:sz w:val="24"/>
          <w:szCs w:val="24"/>
        </w:rPr>
        <w:t>динамічно</w:t>
      </w:r>
      <w:proofErr w:type="spellEnd"/>
      <w:r w:rsidRPr="00545AAF">
        <w:rPr>
          <w:rFonts w:cs="Times New Roman"/>
          <w:sz w:val="24"/>
          <w:szCs w:val="24"/>
        </w:rPr>
        <w:t xml:space="preserve"> у процесі розробки та впровадження ІТ-рішень та здійснення закупівель. Зокрема: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у СЕД на базі програмної продукції АСКОД відсутня інтеграція з інструментами планування задач та </w:t>
      </w:r>
      <w:proofErr w:type="spellStart"/>
      <w:r w:rsidRPr="00545AAF">
        <w:rPr>
          <w:rFonts w:cs="Times New Roman"/>
          <w:sz w:val="24"/>
          <w:szCs w:val="24"/>
        </w:rPr>
        <w:t>спринтів</w:t>
      </w:r>
      <w:proofErr w:type="spellEnd"/>
      <w:r w:rsidRPr="00545AAF">
        <w:rPr>
          <w:rFonts w:cs="Times New Roman"/>
          <w:sz w:val="24"/>
          <w:szCs w:val="24"/>
        </w:rPr>
        <w:t xml:space="preserve">, відстеження прогресу, оцінки навантаження та ведення </w:t>
      </w:r>
      <w:proofErr w:type="spellStart"/>
      <w:r w:rsidRPr="00545AAF">
        <w:rPr>
          <w:rFonts w:cs="Times New Roman"/>
          <w:sz w:val="24"/>
          <w:szCs w:val="24"/>
        </w:rPr>
        <w:t>беклогів</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контроль версій у СЕД на базі програмної продукції АСКОД обмежений форматом документів, не забезпечуючи гнучке спільне редагування у реальному часі або прямий зв'язок з елементами управління ІТ-проектами й </w:t>
      </w:r>
      <w:proofErr w:type="spellStart"/>
      <w:r w:rsidRPr="00545AAF">
        <w:rPr>
          <w:rFonts w:cs="Times New Roman"/>
          <w:sz w:val="24"/>
          <w:szCs w:val="24"/>
        </w:rPr>
        <w:t>закупівлями</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відсутня можливість створення живої бази знань, що самостійно оновлюється паралельно з реалізацією ІТ-проектів й закупівель;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немає можливості централізованого моніторингу прогресу ІТ-проектів й закупівель та взаємозв’язків між ними, що знижує прозорість та ефективність контролю.</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Таким чином, програмна продукція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не дублює, а розширює функціональність СЕД на базі програмної продукції АСКОД. Вона дозволяє сформувати єдине цифрове середовище, орієнтоване на управління повним циклом ІТ-проектів – від постановки задач, планування ресурсів, контролю виконання до формування актуальної бази знань та узгодження документації. Її впровадження дозволить значно </w:t>
      </w:r>
      <w:r w:rsidRPr="00545AAF">
        <w:rPr>
          <w:rFonts w:cs="Times New Roman"/>
          <w:sz w:val="24"/>
          <w:szCs w:val="24"/>
        </w:rPr>
        <w:lastRenderedPageBreak/>
        <w:t>підвищити ефективність ІТ-процесів, прозорість управлінських рішень та якість стратегічного планування цифрових трансформацій у Держмитслужбі.</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Закупівля зазначеної програмної продукції сприятиме досягненню цілей Стратегічного плану (розвитку ЄАІС, забезпечення інтеграції європейських систем з системами митних органів України шляхом розробки відповідних національних ІТ-рішень, сумісних із європейськими системами), а також стандартизації документів у сфері публічних </w:t>
      </w:r>
      <w:proofErr w:type="spellStart"/>
      <w:r w:rsidRPr="00545AAF">
        <w:rPr>
          <w:rFonts w:cs="Times New Roman"/>
          <w:sz w:val="24"/>
          <w:szCs w:val="24"/>
        </w:rPr>
        <w:t>закупівель</w:t>
      </w:r>
      <w:proofErr w:type="spellEnd"/>
      <w:r w:rsidRPr="00545AAF">
        <w:rPr>
          <w:rFonts w:cs="Times New Roman"/>
          <w:sz w:val="24"/>
          <w:szCs w:val="24"/>
        </w:rPr>
        <w:t xml:space="preserve"> та </w:t>
      </w:r>
      <w:proofErr w:type="spellStart"/>
      <w:r w:rsidRPr="00545AAF">
        <w:rPr>
          <w:rFonts w:cs="Times New Roman"/>
          <w:sz w:val="24"/>
          <w:szCs w:val="24"/>
        </w:rPr>
        <w:t>цифровізації</w:t>
      </w:r>
      <w:proofErr w:type="spellEnd"/>
      <w:r w:rsidRPr="00545AAF">
        <w:rPr>
          <w:rFonts w:cs="Times New Roman"/>
          <w:sz w:val="24"/>
          <w:szCs w:val="24"/>
        </w:rPr>
        <w:t xml:space="preserve"> процесів з метою зменшення операційних витрат Держмитслужби як замовника на роботу в електронній системі закупівель, зменшення кількості помилок та операційних витрат на формування та вивчення різних за структурою та наповненням документів тендерної документації.</w:t>
      </w: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770896" w:rsidRDefault="00770896" w:rsidP="007E48A6">
      <w:pPr>
        <w:tabs>
          <w:tab w:val="left" w:pos="9639"/>
        </w:tabs>
        <w:ind w:firstLine="567"/>
        <w:jc w:val="both"/>
        <w:rPr>
          <w:rFonts w:cs="Times New Roman"/>
          <w:sz w:val="24"/>
          <w:szCs w:val="24"/>
        </w:rPr>
      </w:pP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ТЕХНІЧНІ ВИМОГИ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 постачання програмної продукції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для 50 користувачів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та програмної продукції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для 50 користувачів,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код ДК 021:2015-72260000-5 (Послуги, пов’язані з програмним забезпеченням)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 Загальні відомості</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Предметом закупівлі є надання послуг з постачання програмної продукції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для 50 користувачів та програмної продукції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для 50 користувачів (далі – Програмна продукція).</w:t>
      </w:r>
    </w:p>
    <w:p w:rsidR="00545AAF" w:rsidRPr="00545AAF" w:rsidRDefault="00545AAF" w:rsidP="00545AAF">
      <w:pPr>
        <w:tabs>
          <w:tab w:val="left" w:pos="9639"/>
        </w:tabs>
        <w:ind w:firstLine="567"/>
        <w:jc w:val="both"/>
        <w:rPr>
          <w:rFonts w:cs="Times New Roman"/>
          <w:sz w:val="24"/>
          <w:szCs w:val="24"/>
        </w:rPr>
      </w:pP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2. Мета впровадження Програмної продукції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Управління проектами із створення (модернізації, модифікації, розвитку), адміністрування та забезпечення функціонування засобів інформатизації та публічними </w:t>
      </w:r>
      <w:proofErr w:type="spellStart"/>
      <w:r w:rsidRPr="00545AAF">
        <w:rPr>
          <w:rFonts w:cs="Times New Roman"/>
          <w:sz w:val="24"/>
          <w:szCs w:val="24"/>
        </w:rPr>
        <w:t>закупівлями</w:t>
      </w:r>
      <w:proofErr w:type="spellEnd"/>
      <w:r w:rsidRPr="00545AAF">
        <w:rPr>
          <w:rFonts w:cs="Times New Roman"/>
          <w:sz w:val="24"/>
          <w:szCs w:val="24"/>
        </w:rPr>
        <w:t xml:space="preserve"> засобів інформатизації, спеціалізованих програмних та технічних засобів (технологічних сервісів) </w:t>
      </w:r>
      <w:proofErr w:type="spellStart"/>
      <w:r w:rsidRPr="00545AAF">
        <w:rPr>
          <w:rFonts w:cs="Times New Roman"/>
          <w:sz w:val="24"/>
          <w:szCs w:val="24"/>
        </w:rPr>
        <w:t>кіберзахисту</w:t>
      </w:r>
      <w:proofErr w:type="spellEnd"/>
      <w:r w:rsidRPr="00545AAF">
        <w:rPr>
          <w:rFonts w:cs="Times New Roman"/>
          <w:sz w:val="24"/>
          <w:szCs w:val="24"/>
        </w:rPr>
        <w:t xml:space="preserve"> та інформаційної безпеки, послуг у сфері інформаційних технологій та інформаційної безпеки.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3. Вимоги чинного законодавства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1.Конституція України.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2.Закон України «Про електронну ідентифікацію та електронні довірчі послуги».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3.Закон України «Про інформацію»;</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4.Закон України «Про електронні документи та електронний документообіг».</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5.Закон України «Про доступ до публічної інформації».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6.Закон України «Про захист персональних даних».</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7.Закон України «Про захист інформації в інформаційно-комунікаційних системах».</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8.Митний кодекс України.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9.Постанова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10.Постанова Кабінету Міністрів України від 02 лютого 2024 року № 119 «Деякі питання Національної програми інформатизації».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11.Постанова Кабінету Міністрів України від 21 лютого 2025 року № 205 «Деякі питання створення, адміністрування та забезпечення функціонування засобу інформатизації».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12.План заходів з реформування та розвитку системи органів, що реалізують митну політику, затверджений розпорядження Кабінету Міністрів України від 13 травня 2020 року № 569-р.</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lastRenderedPageBreak/>
        <w:t>13.Національна стратегії доходів, схвалена розпорядженням Кабінету Міністрів України від 27 грудня 2023 року № 1218-р.</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14.Стратегія реформування системи публічних закупівель на 2024-2026 роки, схвалена розпорядженням Кабінету Міністрів України від 02 лютого 2024 року № 76-р.</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15.Положення про Єдину автоматизовану інформаційну систему митних органів, порядок і умови застосування її систем, затверджене наказом Міністерства фінансів України від 19 травня 2023 року № 263, зареєстрованим в Міністерстві юстиції України 03 липня 2023 року за № 1132/40188.</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16.Довгостроковий національний стратегічний план цифрового розвитку, цифрових трансформацій і </w:t>
      </w:r>
      <w:proofErr w:type="spellStart"/>
      <w:r w:rsidRPr="00545AAF">
        <w:rPr>
          <w:rFonts w:cs="Times New Roman"/>
          <w:sz w:val="24"/>
          <w:szCs w:val="24"/>
        </w:rPr>
        <w:t>цифровізації</w:t>
      </w:r>
      <w:proofErr w:type="spellEnd"/>
      <w:r w:rsidRPr="00545AAF">
        <w:rPr>
          <w:rFonts w:cs="Times New Roman"/>
          <w:sz w:val="24"/>
          <w:szCs w:val="24"/>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545AAF">
        <w:rPr>
          <w:rFonts w:cs="Times New Roman"/>
          <w:sz w:val="24"/>
          <w:szCs w:val="24"/>
        </w:rPr>
        <w:t>Multi-annual</w:t>
      </w:r>
      <w:proofErr w:type="spellEnd"/>
      <w:r w:rsidRPr="00545AAF">
        <w:rPr>
          <w:rFonts w:cs="Times New Roman"/>
          <w:sz w:val="24"/>
          <w:szCs w:val="24"/>
        </w:rPr>
        <w:t xml:space="preserve"> </w:t>
      </w:r>
      <w:proofErr w:type="spellStart"/>
      <w:r w:rsidRPr="00545AAF">
        <w:rPr>
          <w:rFonts w:cs="Times New Roman"/>
          <w:sz w:val="24"/>
          <w:szCs w:val="24"/>
        </w:rPr>
        <w:t>strategic</w:t>
      </w:r>
      <w:proofErr w:type="spellEnd"/>
      <w:r w:rsidRPr="00545AAF">
        <w:rPr>
          <w:rFonts w:cs="Times New Roman"/>
          <w:sz w:val="24"/>
          <w:szCs w:val="24"/>
        </w:rPr>
        <w:t xml:space="preserve"> </w:t>
      </w:r>
      <w:proofErr w:type="spellStart"/>
      <w:r w:rsidRPr="00545AAF">
        <w:rPr>
          <w:rFonts w:cs="Times New Roman"/>
          <w:sz w:val="24"/>
          <w:szCs w:val="24"/>
        </w:rPr>
        <w:t>plan</w:t>
      </w:r>
      <w:proofErr w:type="spellEnd"/>
      <w:r w:rsidRPr="00545AAF">
        <w:rPr>
          <w:rFonts w:cs="Times New Roman"/>
          <w:sz w:val="24"/>
          <w:szCs w:val="24"/>
        </w:rPr>
        <w:t xml:space="preserve"> </w:t>
      </w:r>
      <w:proofErr w:type="spellStart"/>
      <w:r w:rsidRPr="00545AAF">
        <w:rPr>
          <w:rFonts w:cs="Times New Roman"/>
          <w:sz w:val="24"/>
          <w:szCs w:val="24"/>
        </w:rPr>
        <w:t>for</w:t>
      </w:r>
      <w:proofErr w:type="spellEnd"/>
      <w:r w:rsidRPr="00545AAF">
        <w:rPr>
          <w:rFonts w:cs="Times New Roman"/>
          <w:sz w:val="24"/>
          <w:szCs w:val="24"/>
        </w:rPr>
        <w:t xml:space="preserve"> </w:t>
      </w:r>
      <w:proofErr w:type="spellStart"/>
      <w:r w:rsidRPr="00545AAF">
        <w:rPr>
          <w:rFonts w:cs="Times New Roman"/>
          <w:sz w:val="24"/>
          <w:szCs w:val="24"/>
        </w:rPr>
        <w:t>electronic</w:t>
      </w:r>
      <w:proofErr w:type="spellEnd"/>
      <w:r w:rsidRPr="00545AAF">
        <w:rPr>
          <w:rFonts w:cs="Times New Roman"/>
          <w:sz w:val="24"/>
          <w:szCs w:val="24"/>
        </w:rPr>
        <w:t xml:space="preserve"> </w:t>
      </w:r>
      <w:proofErr w:type="spellStart"/>
      <w:r w:rsidRPr="00545AAF">
        <w:rPr>
          <w:rFonts w:cs="Times New Roman"/>
          <w:sz w:val="24"/>
          <w:szCs w:val="24"/>
        </w:rPr>
        <w:t>customs</w:t>
      </w:r>
      <w:proofErr w:type="spellEnd"/>
      <w:r w:rsidRPr="00545AAF">
        <w:rPr>
          <w:rFonts w:cs="Times New Roman"/>
          <w:sz w:val="24"/>
          <w:szCs w:val="24"/>
        </w:rPr>
        <w:t>, MASP-C), затверджений рішенням Комітету з управління інформаційними технологіями у системі управління державними фінансами (протокол № 6 від 19.01.2024), реалізованим наказом Міністерства фінансів України від 09 лютого 2024 року № 63.</w:t>
      </w:r>
    </w:p>
    <w:p w:rsidR="00545AAF" w:rsidRPr="00545AAF" w:rsidRDefault="00545AAF" w:rsidP="00545AAF">
      <w:pPr>
        <w:tabs>
          <w:tab w:val="left" w:pos="9639"/>
        </w:tabs>
        <w:ind w:firstLine="567"/>
        <w:jc w:val="both"/>
        <w:rPr>
          <w:rFonts w:cs="Times New Roman"/>
          <w:sz w:val="24"/>
          <w:szCs w:val="24"/>
        </w:rPr>
      </w:pP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4. Опис програмної продукції</w:t>
      </w:r>
    </w:p>
    <w:p w:rsidR="00545AAF" w:rsidRPr="00545AAF" w:rsidRDefault="00545AAF" w:rsidP="00545AAF">
      <w:pPr>
        <w:tabs>
          <w:tab w:val="left" w:pos="9639"/>
        </w:tabs>
        <w:ind w:firstLine="567"/>
        <w:jc w:val="both"/>
        <w:rPr>
          <w:rFonts w:cs="Times New Roman"/>
          <w:sz w:val="24"/>
          <w:szCs w:val="24"/>
        </w:rPr>
      </w:pPr>
    </w:p>
    <w:tbl>
      <w:tblPr>
        <w:tblStyle w:val="ae"/>
        <w:tblW w:w="9634" w:type="dxa"/>
        <w:tblLook w:val="04A0" w:firstRow="1" w:lastRow="0" w:firstColumn="1" w:lastColumn="0" w:noHBand="0" w:noVBand="1"/>
      </w:tblPr>
      <w:tblGrid>
        <w:gridCol w:w="691"/>
        <w:gridCol w:w="3699"/>
        <w:gridCol w:w="5244"/>
      </w:tblGrid>
      <w:tr w:rsidR="00013B79" w:rsidRPr="00013B79" w:rsidTr="00180095">
        <w:tc>
          <w:tcPr>
            <w:tcW w:w="691" w:type="dxa"/>
          </w:tcPr>
          <w:p w:rsidR="00013B79" w:rsidRPr="00013B79" w:rsidRDefault="00013B79" w:rsidP="00013B79">
            <w:pPr>
              <w:spacing w:after="160" w:line="259" w:lineRule="auto"/>
              <w:jc w:val="center"/>
              <w:rPr>
                <w:sz w:val="24"/>
              </w:rPr>
            </w:pPr>
            <w:r w:rsidRPr="00013B79">
              <w:rPr>
                <w:iCs/>
                <w:sz w:val="24"/>
              </w:rPr>
              <w:t>№ з/п</w:t>
            </w:r>
          </w:p>
        </w:tc>
        <w:tc>
          <w:tcPr>
            <w:tcW w:w="3699" w:type="dxa"/>
          </w:tcPr>
          <w:p w:rsidR="00013B79" w:rsidRPr="00013B79" w:rsidRDefault="00013B79" w:rsidP="00013B79">
            <w:pPr>
              <w:spacing w:after="160" w:line="259" w:lineRule="auto"/>
              <w:jc w:val="center"/>
              <w:rPr>
                <w:iCs/>
                <w:sz w:val="24"/>
              </w:rPr>
            </w:pPr>
            <w:r w:rsidRPr="00013B79">
              <w:rPr>
                <w:iCs/>
                <w:sz w:val="24"/>
              </w:rPr>
              <w:t xml:space="preserve">Найменування </w:t>
            </w:r>
          </w:p>
        </w:tc>
        <w:tc>
          <w:tcPr>
            <w:tcW w:w="5244" w:type="dxa"/>
          </w:tcPr>
          <w:p w:rsidR="00013B79" w:rsidRPr="00013B79" w:rsidRDefault="00013B79" w:rsidP="00013B79">
            <w:pPr>
              <w:spacing w:after="160" w:line="259" w:lineRule="auto"/>
              <w:jc w:val="center"/>
              <w:rPr>
                <w:iCs/>
                <w:sz w:val="24"/>
              </w:rPr>
            </w:pPr>
            <w:r w:rsidRPr="00013B79">
              <w:rPr>
                <w:iCs/>
                <w:sz w:val="24"/>
              </w:rPr>
              <w:t>Опис функціоналу</w:t>
            </w:r>
          </w:p>
        </w:tc>
      </w:tr>
      <w:tr w:rsidR="00013B79" w:rsidRPr="00013B79" w:rsidTr="00180095">
        <w:tc>
          <w:tcPr>
            <w:tcW w:w="691" w:type="dxa"/>
          </w:tcPr>
          <w:p w:rsidR="00013B79" w:rsidRPr="00013B79" w:rsidRDefault="00013B79" w:rsidP="00013B79">
            <w:pPr>
              <w:spacing w:after="160" w:line="259" w:lineRule="auto"/>
              <w:rPr>
                <w:sz w:val="24"/>
              </w:rPr>
            </w:pPr>
            <w:r w:rsidRPr="00013B79">
              <w:rPr>
                <w:sz w:val="24"/>
              </w:rPr>
              <w:t>1</w:t>
            </w:r>
          </w:p>
        </w:tc>
        <w:tc>
          <w:tcPr>
            <w:tcW w:w="3699" w:type="dxa"/>
          </w:tcPr>
          <w:p w:rsidR="00013B79" w:rsidRPr="00013B79" w:rsidRDefault="00013B79" w:rsidP="00013B79">
            <w:pPr>
              <w:spacing w:after="160" w:line="259" w:lineRule="auto"/>
              <w:rPr>
                <w:sz w:val="24"/>
              </w:rPr>
            </w:pPr>
            <w:r w:rsidRPr="00013B79">
              <w:rPr>
                <w:sz w:val="24"/>
                <w:shd w:val="clear" w:color="auto" w:fill="FFFFFF"/>
              </w:rPr>
              <w:t xml:space="preserve">Програмна продукція </w:t>
            </w:r>
            <w:proofErr w:type="spellStart"/>
            <w:r w:rsidRPr="00013B79">
              <w:rPr>
                <w:sz w:val="24"/>
                <w:shd w:val="clear" w:color="auto" w:fill="FFFFFF"/>
              </w:rPr>
              <w:t>Confluence</w:t>
            </w:r>
            <w:proofErr w:type="spellEnd"/>
            <w:r w:rsidRPr="00013B79">
              <w:rPr>
                <w:sz w:val="24"/>
                <w:shd w:val="clear" w:color="auto" w:fill="FFFFFF"/>
              </w:rPr>
              <w:t xml:space="preserve"> (</w:t>
            </w:r>
            <w:proofErr w:type="spellStart"/>
            <w:r w:rsidRPr="00013B79">
              <w:rPr>
                <w:sz w:val="24"/>
                <w:shd w:val="clear" w:color="auto" w:fill="FFFFFF"/>
              </w:rPr>
              <w:t>Cloud</w:t>
            </w:r>
            <w:proofErr w:type="spellEnd"/>
            <w:r w:rsidRPr="00013B79">
              <w:rPr>
                <w:sz w:val="24"/>
                <w:shd w:val="clear" w:color="auto" w:fill="FFFFFF"/>
              </w:rPr>
              <w:t>) Premium для 50 користувачів</w:t>
            </w:r>
          </w:p>
        </w:tc>
        <w:tc>
          <w:tcPr>
            <w:tcW w:w="5244" w:type="dxa"/>
          </w:tcPr>
          <w:p w:rsidR="00013B79" w:rsidRPr="00013B79" w:rsidRDefault="00013B79" w:rsidP="00013B79">
            <w:pPr>
              <w:ind w:left="36"/>
              <w:rPr>
                <w:sz w:val="24"/>
              </w:rPr>
            </w:pPr>
            <w:r w:rsidRPr="00013B79">
              <w:rPr>
                <w:sz w:val="24"/>
              </w:rPr>
              <w:t>Надання доступу до всіх функціональних можливостей тарифного плану Premium, зокрема:</w:t>
            </w:r>
          </w:p>
          <w:p w:rsidR="00013B79" w:rsidRPr="00013B79" w:rsidRDefault="00013B79" w:rsidP="00013B79">
            <w:pPr>
              <w:ind w:left="36"/>
              <w:rPr>
                <w:sz w:val="24"/>
              </w:rPr>
            </w:pPr>
            <w:r w:rsidRPr="00013B79">
              <w:rPr>
                <w:sz w:val="24"/>
              </w:rPr>
              <w:t>1) створення та редагування документів;</w:t>
            </w:r>
          </w:p>
          <w:p w:rsidR="00013B79" w:rsidRPr="00013B79" w:rsidRDefault="00013B79" w:rsidP="00013B79">
            <w:pPr>
              <w:ind w:left="36"/>
              <w:rPr>
                <w:sz w:val="24"/>
              </w:rPr>
            </w:pPr>
            <w:r w:rsidRPr="00013B79">
              <w:rPr>
                <w:sz w:val="24"/>
              </w:rPr>
              <w:t>2) співпраця над документами в реальному часі;</w:t>
            </w:r>
          </w:p>
          <w:p w:rsidR="00013B79" w:rsidRPr="00013B79" w:rsidRDefault="00013B79" w:rsidP="00013B79">
            <w:pPr>
              <w:ind w:left="36"/>
              <w:rPr>
                <w:sz w:val="24"/>
              </w:rPr>
            </w:pPr>
            <w:r w:rsidRPr="00013B79">
              <w:rPr>
                <w:sz w:val="24"/>
              </w:rPr>
              <w:t xml:space="preserve">3) глибока інтеграція з </w:t>
            </w:r>
            <w:r w:rsidRPr="00013B79">
              <w:rPr>
                <w:sz w:val="24"/>
                <w:lang w:val="en-US"/>
              </w:rPr>
              <w:t>Jira</w:t>
            </w:r>
            <w:r w:rsidRPr="00013B79">
              <w:rPr>
                <w:sz w:val="24"/>
              </w:rPr>
              <w:t>;</w:t>
            </w:r>
          </w:p>
          <w:p w:rsidR="00013B79" w:rsidRPr="00013B79" w:rsidRDefault="00013B79" w:rsidP="00013B79">
            <w:pPr>
              <w:ind w:left="36"/>
              <w:rPr>
                <w:sz w:val="24"/>
              </w:rPr>
            </w:pPr>
            <w:r w:rsidRPr="00013B79">
              <w:rPr>
                <w:sz w:val="24"/>
              </w:rPr>
              <w:t>4) створення баз знань;</w:t>
            </w:r>
          </w:p>
          <w:p w:rsidR="00013B79" w:rsidRPr="00013B79" w:rsidRDefault="00013B79" w:rsidP="00013B79">
            <w:pPr>
              <w:ind w:left="36"/>
              <w:rPr>
                <w:sz w:val="24"/>
              </w:rPr>
            </w:pPr>
            <w:r w:rsidRPr="00013B79">
              <w:rPr>
                <w:sz w:val="24"/>
              </w:rPr>
              <w:t>5) документування проектів;</w:t>
            </w:r>
          </w:p>
          <w:p w:rsidR="00013B79" w:rsidRPr="00013B79" w:rsidRDefault="00013B79" w:rsidP="00013B79">
            <w:pPr>
              <w:ind w:left="36"/>
              <w:rPr>
                <w:sz w:val="24"/>
              </w:rPr>
            </w:pPr>
            <w:r w:rsidRPr="00013B79">
              <w:rPr>
                <w:sz w:val="24"/>
              </w:rPr>
              <w:t>6) організація співпраці між командами проектів;</w:t>
            </w:r>
          </w:p>
          <w:p w:rsidR="00013B79" w:rsidRPr="00013B79" w:rsidRDefault="00013B79" w:rsidP="00013B79">
            <w:pPr>
              <w:ind w:left="36"/>
              <w:rPr>
                <w:sz w:val="24"/>
              </w:rPr>
            </w:pPr>
            <w:r w:rsidRPr="00013B79">
              <w:rPr>
                <w:sz w:val="24"/>
              </w:rPr>
              <w:t>7) </w:t>
            </w:r>
            <w:proofErr w:type="spellStart"/>
            <w:r w:rsidRPr="00013B79">
              <w:rPr>
                <w:sz w:val="24"/>
              </w:rPr>
              <w:t>відстежування</w:t>
            </w:r>
            <w:proofErr w:type="spellEnd"/>
            <w:r w:rsidRPr="00013B79">
              <w:rPr>
                <w:sz w:val="24"/>
              </w:rPr>
              <w:t xml:space="preserve"> дій користувачів та змін в документах</w:t>
            </w:r>
          </w:p>
        </w:tc>
      </w:tr>
      <w:tr w:rsidR="00013B79" w:rsidRPr="00013B79" w:rsidTr="00180095">
        <w:tc>
          <w:tcPr>
            <w:tcW w:w="691" w:type="dxa"/>
          </w:tcPr>
          <w:p w:rsidR="00013B79" w:rsidRPr="00013B79" w:rsidRDefault="00013B79" w:rsidP="00013B79">
            <w:pPr>
              <w:spacing w:after="160" w:line="259" w:lineRule="auto"/>
              <w:rPr>
                <w:sz w:val="24"/>
              </w:rPr>
            </w:pPr>
            <w:r w:rsidRPr="00013B79">
              <w:rPr>
                <w:sz w:val="24"/>
              </w:rPr>
              <w:t>2</w:t>
            </w:r>
          </w:p>
        </w:tc>
        <w:tc>
          <w:tcPr>
            <w:tcW w:w="3699" w:type="dxa"/>
          </w:tcPr>
          <w:p w:rsidR="00013B79" w:rsidRPr="00013B79" w:rsidRDefault="00013B79" w:rsidP="00013B79">
            <w:pPr>
              <w:spacing w:after="160" w:line="259" w:lineRule="auto"/>
              <w:rPr>
                <w:sz w:val="24"/>
                <w:shd w:val="clear" w:color="auto" w:fill="FFFFFF"/>
              </w:rPr>
            </w:pPr>
            <w:r w:rsidRPr="00013B79">
              <w:rPr>
                <w:sz w:val="24"/>
                <w:shd w:val="clear" w:color="auto" w:fill="FFFFFF"/>
              </w:rPr>
              <w:t xml:space="preserve">Програмна продукція </w:t>
            </w:r>
            <w:proofErr w:type="spellStart"/>
            <w:r w:rsidRPr="00013B79">
              <w:rPr>
                <w:sz w:val="24"/>
                <w:shd w:val="clear" w:color="auto" w:fill="FFFFFF"/>
              </w:rPr>
              <w:t>Jira</w:t>
            </w:r>
            <w:proofErr w:type="spellEnd"/>
            <w:r w:rsidRPr="00013B79">
              <w:rPr>
                <w:sz w:val="24"/>
                <w:shd w:val="clear" w:color="auto" w:fill="FFFFFF"/>
              </w:rPr>
              <w:t xml:space="preserve"> (</w:t>
            </w:r>
            <w:proofErr w:type="spellStart"/>
            <w:r w:rsidRPr="00013B79">
              <w:rPr>
                <w:sz w:val="24"/>
                <w:shd w:val="clear" w:color="auto" w:fill="FFFFFF"/>
              </w:rPr>
              <w:t>Cloud</w:t>
            </w:r>
            <w:proofErr w:type="spellEnd"/>
            <w:r w:rsidRPr="00013B79">
              <w:rPr>
                <w:sz w:val="24"/>
                <w:shd w:val="clear" w:color="auto" w:fill="FFFFFF"/>
              </w:rPr>
              <w:t>) Premium для 50 користувачів</w:t>
            </w:r>
          </w:p>
        </w:tc>
        <w:tc>
          <w:tcPr>
            <w:tcW w:w="5244" w:type="dxa"/>
          </w:tcPr>
          <w:p w:rsidR="00013B79" w:rsidRPr="00013B79" w:rsidRDefault="00013B79" w:rsidP="00013B79">
            <w:pPr>
              <w:spacing w:line="259" w:lineRule="auto"/>
              <w:ind w:left="36"/>
              <w:rPr>
                <w:sz w:val="24"/>
              </w:rPr>
            </w:pPr>
            <w:r w:rsidRPr="00013B79">
              <w:rPr>
                <w:sz w:val="24"/>
              </w:rPr>
              <w:t>Надання доступу до всіх функцій тарифного плану Premium, зокрема:</w:t>
            </w:r>
          </w:p>
          <w:p w:rsidR="00013B79" w:rsidRPr="00013B79" w:rsidRDefault="00013B79" w:rsidP="00013B79">
            <w:pPr>
              <w:spacing w:line="259" w:lineRule="auto"/>
              <w:ind w:left="36"/>
              <w:rPr>
                <w:sz w:val="24"/>
              </w:rPr>
            </w:pPr>
            <w:r w:rsidRPr="00013B79">
              <w:rPr>
                <w:sz w:val="24"/>
              </w:rPr>
              <w:t>1) управління проектами (задачами);</w:t>
            </w:r>
          </w:p>
          <w:p w:rsidR="00013B79" w:rsidRPr="00013B79" w:rsidRDefault="00013B79" w:rsidP="00013B79">
            <w:pPr>
              <w:spacing w:line="259" w:lineRule="auto"/>
              <w:ind w:left="36"/>
              <w:rPr>
                <w:sz w:val="24"/>
              </w:rPr>
            </w:pPr>
            <w:r w:rsidRPr="00013B79">
              <w:rPr>
                <w:sz w:val="24"/>
              </w:rPr>
              <w:t xml:space="preserve">2) гнучкі шаблони для бізнес-операцій; </w:t>
            </w:r>
          </w:p>
          <w:p w:rsidR="00013B79" w:rsidRPr="00013B79" w:rsidRDefault="00013B79" w:rsidP="00013B79">
            <w:pPr>
              <w:spacing w:line="259" w:lineRule="auto"/>
              <w:ind w:left="36"/>
              <w:rPr>
                <w:sz w:val="24"/>
              </w:rPr>
            </w:pPr>
            <w:r w:rsidRPr="00013B79">
              <w:rPr>
                <w:sz w:val="24"/>
              </w:rPr>
              <w:t xml:space="preserve">3) інтеграція з </w:t>
            </w:r>
            <w:proofErr w:type="spellStart"/>
            <w:r w:rsidRPr="00013B79">
              <w:rPr>
                <w:sz w:val="24"/>
              </w:rPr>
              <w:t>Confluence</w:t>
            </w:r>
            <w:proofErr w:type="spellEnd"/>
            <w:r w:rsidRPr="00013B79">
              <w:rPr>
                <w:sz w:val="24"/>
              </w:rPr>
              <w:t>;</w:t>
            </w:r>
          </w:p>
          <w:p w:rsidR="00013B79" w:rsidRPr="00013B79" w:rsidRDefault="00013B79" w:rsidP="00013B79">
            <w:pPr>
              <w:spacing w:line="259" w:lineRule="auto"/>
              <w:ind w:left="36"/>
              <w:rPr>
                <w:sz w:val="24"/>
              </w:rPr>
            </w:pPr>
            <w:r w:rsidRPr="00013B79">
              <w:rPr>
                <w:sz w:val="24"/>
              </w:rPr>
              <w:t>4) налаштування робочих процесів;</w:t>
            </w:r>
          </w:p>
          <w:p w:rsidR="00013B79" w:rsidRPr="00013B79" w:rsidRDefault="00013B79" w:rsidP="00013B79">
            <w:pPr>
              <w:spacing w:line="259" w:lineRule="auto"/>
              <w:ind w:left="36"/>
              <w:rPr>
                <w:sz w:val="24"/>
              </w:rPr>
            </w:pPr>
            <w:r w:rsidRPr="00013B79">
              <w:rPr>
                <w:sz w:val="24"/>
              </w:rPr>
              <w:t>5) автоматизація повторюваних завдань;</w:t>
            </w:r>
          </w:p>
          <w:p w:rsidR="00013B79" w:rsidRPr="00013B79" w:rsidRDefault="00013B79" w:rsidP="00013B79">
            <w:pPr>
              <w:spacing w:line="259" w:lineRule="auto"/>
              <w:ind w:left="36"/>
              <w:rPr>
                <w:sz w:val="24"/>
              </w:rPr>
            </w:pPr>
            <w:r w:rsidRPr="00013B79">
              <w:rPr>
                <w:sz w:val="24"/>
              </w:rPr>
              <w:t>6) оцінка продуктивності команди та обсягів виконаної роботи</w:t>
            </w:r>
          </w:p>
        </w:tc>
      </w:tr>
    </w:tbl>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5. Вимоги до постачання Програмної продукції (ліцензій)</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Виконавець протягом 30 календарних днів з дати укладання договору надає Замовнику доступ до хмарного середовища </w:t>
      </w:r>
      <w:proofErr w:type="spellStart"/>
      <w:r w:rsidRPr="00545AAF">
        <w:rPr>
          <w:rFonts w:cs="Times New Roman"/>
          <w:sz w:val="24"/>
          <w:szCs w:val="24"/>
        </w:rPr>
        <w:t>Atlassian</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із зазначенням URL. Замовник здійснює реєстрацію адміністратора організації (Замовника) в </w:t>
      </w:r>
      <w:proofErr w:type="spellStart"/>
      <w:r w:rsidRPr="00545AAF">
        <w:rPr>
          <w:rFonts w:cs="Times New Roman"/>
          <w:sz w:val="24"/>
          <w:szCs w:val="24"/>
        </w:rPr>
        <w:t>Atlassian</w:t>
      </w:r>
      <w:proofErr w:type="spellEnd"/>
      <w:r w:rsidRPr="00545AAF">
        <w:rPr>
          <w:rFonts w:cs="Times New Roman"/>
          <w:sz w:val="24"/>
          <w:szCs w:val="24"/>
        </w:rPr>
        <w:t>. Активація Програмної продукції відбувається автоматичною активацією облікового запису після підтвердження користувача адміністратором організації (Замовника).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Виконавець забезпечує постачання Програмної продукції у вигляді хмарної підписки (</w:t>
      </w:r>
      <w:proofErr w:type="spellStart"/>
      <w:r w:rsidRPr="00545AAF">
        <w:rPr>
          <w:rFonts w:cs="Times New Roman"/>
          <w:sz w:val="24"/>
          <w:szCs w:val="24"/>
        </w:rPr>
        <w:t>Cloud</w:t>
      </w:r>
      <w:proofErr w:type="spellEnd"/>
      <w:r w:rsidRPr="00545AAF">
        <w:rPr>
          <w:rFonts w:cs="Times New Roman"/>
          <w:sz w:val="24"/>
          <w:szCs w:val="24"/>
        </w:rPr>
        <w:t xml:space="preserve"> </w:t>
      </w:r>
      <w:proofErr w:type="spellStart"/>
      <w:r w:rsidRPr="00545AAF">
        <w:rPr>
          <w:rFonts w:cs="Times New Roman"/>
          <w:sz w:val="24"/>
          <w:szCs w:val="24"/>
        </w:rPr>
        <w:t>Subscription</w:t>
      </w:r>
      <w:proofErr w:type="spellEnd"/>
      <w:r w:rsidRPr="00545AAF">
        <w:rPr>
          <w:rFonts w:cs="Times New Roman"/>
          <w:sz w:val="24"/>
          <w:szCs w:val="24"/>
        </w:rPr>
        <w:t>). Після постачання Програмної продукції Виконавець надає Замовнику акт прийому-передачі послуг.</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lastRenderedPageBreak/>
        <w:t xml:space="preserve">Виконавець повинен забезпечити постачання Програмної продукції (ліцензій) виключно через </w:t>
      </w:r>
      <w:proofErr w:type="spellStart"/>
      <w:r w:rsidRPr="00545AAF">
        <w:rPr>
          <w:rFonts w:cs="Times New Roman"/>
          <w:sz w:val="24"/>
          <w:szCs w:val="24"/>
        </w:rPr>
        <w:t>Atlassian</w:t>
      </w:r>
      <w:proofErr w:type="spellEnd"/>
      <w:r w:rsidRPr="00545AAF">
        <w:rPr>
          <w:rFonts w:cs="Times New Roman"/>
          <w:sz w:val="24"/>
          <w:szCs w:val="24"/>
        </w:rPr>
        <w:t xml:space="preserve"> або його офіційного партнера/</w:t>
      </w:r>
      <w:proofErr w:type="spellStart"/>
      <w:r w:rsidRPr="00545AAF">
        <w:rPr>
          <w:rFonts w:cs="Times New Roman"/>
          <w:sz w:val="24"/>
          <w:szCs w:val="24"/>
        </w:rPr>
        <w:t>реселера</w:t>
      </w:r>
      <w:proofErr w:type="spellEnd"/>
      <w:r w:rsidRPr="00545AAF">
        <w:rPr>
          <w:rFonts w:cs="Times New Roman"/>
          <w:sz w:val="24"/>
          <w:szCs w:val="24"/>
        </w:rPr>
        <w:t xml:space="preserve">.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Строк дії права користування Програмною продукцією повинен складати не менше 12 (дванадцять) місяців з дати активації Програмної продукції. Дата початку дії ліцензій (активації) має бути погоджена з Замовником.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Технічна підтримка Програмної продукції повинна забезпечуватись розробником програмної продукції (</w:t>
      </w:r>
      <w:proofErr w:type="spellStart"/>
      <w:r w:rsidRPr="00545AAF">
        <w:rPr>
          <w:rFonts w:cs="Times New Roman"/>
          <w:sz w:val="24"/>
          <w:szCs w:val="24"/>
        </w:rPr>
        <w:t>Atlassian</w:t>
      </w:r>
      <w:proofErr w:type="spellEnd"/>
      <w:r w:rsidRPr="00545AAF">
        <w:rPr>
          <w:rFonts w:cs="Times New Roman"/>
          <w:sz w:val="24"/>
          <w:szCs w:val="24"/>
        </w:rPr>
        <w:t>) відповідно до політики технічної підтримки, розміщеної за посиланням https://www.atlassian.com/support.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Строк технічної підтримки Програмної продукції повинен складати не менше ніж 12 місяців з дня її активації Програмної продукції.</w:t>
      </w:r>
    </w:p>
    <w:p w:rsidR="00545AAF" w:rsidRDefault="00545AAF" w:rsidP="007E48A6">
      <w:pPr>
        <w:tabs>
          <w:tab w:val="left" w:pos="9639"/>
        </w:tabs>
        <w:ind w:firstLine="567"/>
        <w:jc w:val="both"/>
        <w:rPr>
          <w:rFonts w:cs="Times New Roman"/>
          <w:sz w:val="24"/>
          <w:szCs w:val="24"/>
        </w:rPr>
      </w:pPr>
    </w:p>
    <w:p w:rsidR="00F14357" w:rsidRPr="00545AAF" w:rsidRDefault="00770896" w:rsidP="00545AAF">
      <w:pPr>
        <w:autoSpaceDE w:val="0"/>
        <w:autoSpaceDN w:val="0"/>
        <w:adjustRightInd w:val="0"/>
        <w:ind w:firstLine="567"/>
        <w:jc w:val="both"/>
        <w:rPr>
          <w:b/>
          <w:bCs/>
          <w:color w:val="000000" w:themeColor="text1"/>
          <w:sz w:val="24"/>
          <w:szCs w:val="24"/>
          <w:lang w:eastAsia="uk-UA"/>
        </w:rPr>
      </w:pPr>
      <w:r w:rsidRPr="00545AAF">
        <w:rPr>
          <w:b/>
          <w:sz w:val="24"/>
          <w:szCs w:val="24"/>
        </w:rPr>
        <w:t>4.</w:t>
      </w:r>
      <w:r w:rsidR="00092F91" w:rsidRPr="00545AAF">
        <w:rPr>
          <w:b/>
          <w:sz w:val="24"/>
          <w:szCs w:val="24"/>
        </w:rPr>
        <w:t>Обґрунтування очікуваної вартості закупівлі</w:t>
      </w:r>
      <w:r w:rsidR="00092F91" w:rsidRPr="00092F91">
        <w:rPr>
          <w:b/>
        </w:rPr>
        <w:t>:</w:t>
      </w:r>
      <w:r w:rsidR="00092F91" w:rsidRPr="00092F91">
        <w:t xml:space="preserve"> </w:t>
      </w:r>
      <w:r w:rsidRPr="00545AAF">
        <w:rPr>
          <w:sz w:val="24"/>
          <w:szCs w:val="24"/>
        </w:rPr>
        <w:t xml:space="preserve">Очікувана вартість </w:t>
      </w:r>
      <w:bookmarkStart w:id="0" w:name="_GoBack"/>
      <w:bookmarkEnd w:id="0"/>
      <w:r w:rsidRPr="00545AAF">
        <w:rPr>
          <w:sz w:val="24"/>
          <w:szCs w:val="24"/>
        </w:rPr>
        <w:t xml:space="preserve">предмета закупівлі: </w:t>
      </w:r>
      <w:r w:rsidR="00545AAF" w:rsidRPr="00545AAF">
        <w:rPr>
          <w:sz w:val="24"/>
          <w:szCs w:val="24"/>
        </w:rPr>
        <w:t>560</w:t>
      </w:r>
      <w:r w:rsidRPr="00545AAF">
        <w:rPr>
          <w:sz w:val="24"/>
          <w:szCs w:val="24"/>
        </w:rPr>
        <w:t xml:space="preserve">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545AAF" w:rsidRPr="00545AAF">
        <w:rPr>
          <w:rFonts w:ascii="TimesNewRomanPSMT" w:hAnsi="TimesNewRomanPSMT" w:cs="TimesNewRomanPSMT"/>
          <w:sz w:val="24"/>
          <w:szCs w:val="24"/>
        </w:rPr>
        <w:t>на</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підставі проведеного аналізу цін на аналогічні за технічними характеристиками</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послуги з отриманих цінових пропозицій та з урахуванням результату аукціону</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проведеної закупівлі у 2024 році.</w:t>
      </w:r>
    </w:p>
    <w:sectPr w:rsidR="00F14357" w:rsidRPr="00545AAF"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8C5606">
          <w:rPr>
            <w:noProof/>
          </w:rPr>
          <w:t>6</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13B79"/>
    <w:rsid w:val="00034B71"/>
    <w:rsid w:val="0003718E"/>
    <w:rsid w:val="00092F91"/>
    <w:rsid w:val="000C6E30"/>
    <w:rsid w:val="00137FCC"/>
    <w:rsid w:val="001463DB"/>
    <w:rsid w:val="00146928"/>
    <w:rsid w:val="0022794A"/>
    <w:rsid w:val="00307378"/>
    <w:rsid w:val="0033663D"/>
    <w:rsid w:val="003401D7"/>
    <w:rsid w:val="00402568"/>
    <w:rsid w:val="00464A76"/>
    <w:rsid w:val="00534801"/>
    <w:rsid w:val="00545AAF"/>
    <w:rsid w:val="005527AD"/>
    <w:rsid w:val="0055505C"/>
    <w:rsid w:val="006F557D"/>
    <w:rsid w:val="00710917"/>
    <w:rsid w:val="007329CB"/>
    <w:rsid w:val="00733068"/>
    <w:rsid w:val="00770896"/>
    <w:rsid w:val="007E48A6"/>
    <w:rsid w:val="0084248B"/>
    <w:rsid w:val="008463DD"/>
    <w:rsid w:val="00860A1D"/>
    <w:rsid w:val="00870DFB"/>
    <w:rsid w:val="008C5606"/>
    <w:rsid w:val="008F2925"/>
    <w:rsid w:val="0092337D"/>
    <w:rsid w:val="00957C68"/>
    <w:rsid w:val="0098055A"/>
    <w:rsid w:val="00984C2C"/>
    <w:rsid w:val="009B5358"/>
    <w:rsid w:val="009B6ECD"/>
    <w:rsid w:val="00A238BF"/>
    <w:rsid w:val="00B24970"/>
    <w:rsid w:val="00BC2816"/>
    <w:rsid w:val="00C0074F"/>
    <w:rsid w:val="00CC3F28"/>
    <w:rsid w:val="00D56785"/>
    <w:rsid w:val="00DD27E5"/>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6161">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11780</Words>
  <Characters>6715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User</cp:lastModifiedBy>
  <cp:revision>47</cp:revision>
  <cp:lastPrinted>2025-05-19T05:49:00Z</cp:lastPrinted>
  <dcterms:created xsi:type="dcterms:W3CDTF">2024-04-11T08:32:00Z</dcterms:created>
  <dcterms:modified xsi:type="dcterms:W3CDTF">2025-05-28T07:36:00Z</dcterms:modified>
</cp:coreProperties>
</file>