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6EA3DCA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8245D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Сейф</w:t>
      </w:r>
      <w:r w:rsidR="00991541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C8245D" w:rsidRPr="00C8245D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44420000-0 – Будівельні товари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4BFEA95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закупівлі: UA-</w:t>
      </w:r>
      <w:r w:rsidR="0048144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2025-06</w:t>
      </w:r>
      <w:r w:rsidR="00C8245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48144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03-008952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5830"/>
        <w:gridCol w:w="265"/>
        <w:gridCol w:w="851"/>
      </w:tblGrid>
      <w:tr w:rsidR="00F1270C" w:rsidRPr="00F1270C" w14:paraId="1BC71BC7" w14:textId="77777777" w:rsidTr="00D3706C">
        <w:trPr>
          <w:trHeight w:val="49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1CC" w14:textId="77777777" w:rsidR="00F1270C" w:rsidRPr="00F1270C" w:rsidRDefault="00F1270C" w:rsidP="00F12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№</w:t>
            </w:r>
          </w:p>
          <w:p w14:paraId="67B859B2" w14:textId="77777777" w:rsidR="00F1270C" w:rsidRPr="00F1270C" w:rsidRDefault="00F1270C" w:rsidP="00F12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F2A8" w14:textId="77777777" w:rsidR="00F1270C" w:rsidRPr="00F1270C" w:rsidRDefault="00F1270C" w:rsidP="00F12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270C">
              <w:rPr>
                <w:rFonts w:ascii="Times New Roman" w:eastAsia="Times New Roman" w:hAnsi="Times New Roman"/>
                <w:lang w:eastAsia="ru-RU"/>
              </w:rPr>
              <w:t>Найменування предмета закупівлі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ED93" w14:textId="77777777" w:rsidR="00F1270C" w:rsidRPr="00F1270C" w:rsidRDefault="00F1270C" w:rsidP="00F1270C">
            <w:pPr>
              <w:spacing w:after="0" w:line="240" w:lineRule="auto"/>
              <w:ind w:left="-6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1270C">
              <w:rPr>
                <w:rFonts w:ascii="Times New Roman" w:eastAsia="Times New Roman" w:hAnsi="Times New Roman"/>
                <w:lang w:eastAsia="ru-RU"/>
              </w:rPr>
              <w:t>Зображення, опис, технічні та якісні характеристики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88F260" w14:textId="77777777" w:rsidR="00F1270C" w:rsidRPr="00F1270C" w:rsidRDefault="00F1270C" w:rsidP="00F12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spellStart"/>
            <w:r w:rsidRPr="00F1270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К-ть</w:t>
            </w:r>
            <w:proofErr w:type="spellEnd"/>
            <w:r w:rsidRPr="00F1270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, шт.</w:t>
            </w:r>
          </w:p>
        </w:tc>
      </w:tr>
      <w:tr w:rsidR="00F1270C" w:rsidRPr="00F1270C" w14:paraId="70F7E990" w14:textId="77777777" w:rsidTr="00D3706C">
        <w:trPr>
          <w:trHeight w:val="174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15F09" w14:textId="77777777" w:rsidR="00F1270C" w:rsidRPr="00F1270C" w:rsidRDefault="00F1270C" w:rsidP="00F127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270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7A985" w14:textId="77777777" w:rsidR="00F1270C" w:rsidRPr="00F1270C" w:rsidRDefault="00F1270C" w:rsidP="00F127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1270C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F1270C">
              <w:rPr>
                <w:rFonts w:ascii="Times New Roman" w:eastAsia="Times New Roman" w:hAnsi="Times New Roman"/>
                <w:lang w:val="ru-RU" w:eastAsia="ru-RU"/>
              </w:rPr>
              <w:t>Сейф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793" w14:textId="07B41D5A" w:rsidR="00F1270C" w:rsidRPr="00F1270C" w:rsidRDefault="00F1270C" w:rsidP="00F1270C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uk-UA"/>
              </w:rPr>
              <w:drawing>
                <wp:inline distT="0" distB="0" distL="0" distR="0" wp14:anchorId="3541CD90" wp14:editId="67D23E7D">
                  <wp:extent cx="1268095" cy="95758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73B" w14:textId="77777777" w:rsidR="00F1270C" w:rsidRPr="00F1270C" w:rsidRDefault="00F1270C" w:rsidP="00F1270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2390815" w14:textId="77777777" w:rsidR="00F1270C" w:rsidRPr="00F1270C" w:rsidRDefault="00F1270C" w:rsidP="00F1270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F1270C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>1</w:t>
            </w:r>
          </w:p>
        </w:tc>
      </w:tr>
      <w:tr w:rsidR="00F1270C" w:rsidRPr="00F1270C" w14:paraId="6843B0F0" w14:textId="77777777" w:rsidTr="00D3706C">
        <w:trPr>
          <w:trHeight w:val="35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401B" w14:textId="77777777" w:rsidR="00F1270C" w:rsidRPr="00F1270C" w:rsidRDefault="00F1270C" w:rsidP="00F127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352" w14:textId="77777777" w:rsidR="00F1270C" w:rsidRPr="00F1270C" w:rsidRDefault="00F1270C" w:rsidP="00F127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FD6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Опис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: сейф для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зберігання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документі</w:t>
            </w:r>
            <w:proofErr w:type="gram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в</w:t>
            </w:r>
            <w:proofErr w:type="spellEnd"/>
            <w:proofErr w:type="gram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.</w:t>
            </w:r>
          </w:p>
          <w:p w14:paraId="245656C9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Комплектація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:</w:t>
            </w:r>
          </w:p>
          <w:p w14:paraId="1F4C2208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дверцята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- 1 шт.;</w:t>
            </w:r>
          </w:p>
          <w:p w14:paraId="46C24B8C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полиця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металева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з’ємна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r w:rsidRPr="00F1270C">
              <w:rPr>
                <w:rFonts w:ascii="Times New Roman" w:eastAsia="Times New Roman" w:hAnsi="Times New Roman"/>
                <w:lang w:val="ru-RU" w:eastAsia="ru-RU"/>
              </w:rPr>
              <w:t>(</w:t>
            </w:r>
            <w:proofErr w:type="spellStart"/>
            <w:r w:rsidRPr="00F1270C">
              <w:rPr>
                <w:rFonts w:ascii="Times New Roman" w:eastAsia="Times New Roman" w:hAnsi="Times New Roman"/>
                <w:lang w:val="ru-RU" w:eastAsia="ru-RU"/>
              </w:rPr>
              <w:t>розміщення</w:t>
            </w:r>
            <w:proofErr w:type="spellEnd"/>
            <w:r w:rsidRPr="00F1270C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F1270C">
              <w:rPr>
                <w:rFonts w:ascii="Times New Roman" w:eastAsia="Times New Roman" w:hAnsi="Times New Roman"/>
                <w:lang w:val="ru-RU" w:eastAsia="ru-RU"/>
              </w:rPr>
              <w:t>полиці</w:t>
            </w:r>
            <w:proofErr w:type="spellEnd"/>
            <w:r w:rsidRPr="00F1270C">
              <w:rPr>
                <w:rFonts w:ascii="Times New Roman" w:eastAsia="Times New Roman" w:hAnsi="Times New Roman"/>
                <w:lang w:val="ru-RU" w:eastAsia="ru-RU"/>
              </w:rPr>
              <w:t xml:space="preserve"> по центру сейфа)</w:t>
            </w:r>
            <w:r w:rsidRPr="00F1270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- 1 шт.;</w:t>
            </w:r>
          </w:p>
          <w:p w14:paraId="26D90E01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ключовий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замок - 1 шт.;</w:t>
            </w:r>
          </w:p>
          <w:p w14:paraId="6FFB1586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ключ до замка - 2 шт. (не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менше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); </w:t>
            </w:r>
          </w:p>
          <w:p w14:paraId="0E75BBBB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- паспорт сейфа - 1 шт.</w:t>
            </w:r>
          </w:p>
          <w:p w14:paraId="55AFA6C3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proofErr w:type="spellStart"/>
            <w:proofErr w:type="gram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Техн</w:t>
            </w:r>
            <w:proofErr w:type="gram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ічні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та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якісні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характеристики:</w:t>
            </w:r>
          </w:p>
          <w:p w14:paraId="4E9D58A9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lang w:val="ru-RU" w:eastAsia="ru-RU"/>
              </w:rPr>
              <w:t xml:space="preserve">1) Корпус сейфа – </w:t>
            </w:r>
            <w:proofErr w:type="spellStart"/>
            <w:r w:rsidRPr="00F1270C">
              <w:rPr>
                <w:rFonts w:ascii="Times New Roman" w:eastAsia="Times New Roman" w:hAnsi="Times New Roman"/>
                <w:lang w:val="ru-RU" w:eastAsia="ru-RU"/>
              </w:rPr>
              <w:t>суцільнозварний</w:t>
            </w:r>
            <w:proofErr w:type="spellEnd"/>
            <w:r w:rsidRPr="00F1270C">
              <w:rPr>
                <w:rFonts w:ascii="Times New Roman" w:eastAsia="Times New Roman" w:hAnsi="Times New Roman"/>
                <w:lang w:val="ru-RU" w:eastAsia="ru-RU"/>
              </w:rPr>
              <w:t>;</w:t>
            </w:r>
          </w:p>
          <w:p w14:paraId="055F32B9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2) </w:t>
            </w:r>
            <w:proofErr w:type="spellStart"/>
            <w:proofErr w:type="gram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Матер</w:t>
            </w:r>
            <w:proofErr w:type="gram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іал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-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сталевий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лист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товщиною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:</w:t>
            </w:r>
          </w:p>
          <w:p w14:paraId="3029A931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для корпуса - не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менше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2 мм;</w:t>
            </w:r>
          </w:p>
          <w:p w14:paraId="494C894D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для дверей - не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менше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3 мм;</w:t>
            </w:r>
          </w:p>
          <w:p w14:paraId="183C3A46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для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полиці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- не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менше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1,5 мм.</w:t>
            </w:r>
          </w:p>
          <w:p w14:paraId="5994471A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eastAsia="ru-RU"/>
              </w:rPr>
              <w:t>3</w:t>
            </w: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)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Ключовий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замок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вмонтований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в сейф;</w:t>
            </w:r>
          </w:p>
          <w:p w14:paraId="287888B6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eastAsia="ru-RU"/>
              </w:rPr>
              <w:t>4</w:t>
            </w: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)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Покриття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сейфа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ззовні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та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всередині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–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фарба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сірого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кольору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; </w:t>
            </w:r>
          </w:p>
          <w:p w14:paraId="332186E9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eastAsia="ru-RU"/>
              </w:rPr>
              <w:t>5</w:t>
            </w: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)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Габаритні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розміри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:</w:t>
            </w:r>
          </w:p>
          <w:p w14:paraId="2841557D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висота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– не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менше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r w:rsidRPr="00F1270C">
              <w:rPr>
                <w:rFonts w:ascii="Times New Roman" w:eastAsia="Times New Roman" w:hAnsi="Times New Roman"/>
                <w:bCs/>
                <w:iCs/>
                <w:lang w:eastAsia="ru-RU"/>
              </w:rPr>
              <w:t>3</w:t>
            </w: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00 мм;</w:t>
            </w:r>
          </w:p>
          <w:p w14:paraId="6D7962C4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ширина – не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менше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400 мм; </w:t>
            </w:r>
          </w:p>
          <w:p w14:paraId="64CEE88B" w14:textId="77777777" w:rsidR="00F1270C" w:rsidRPr="00F1270C" w:rsidRDefault="00F1270C" w:rsidP="00F127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Cs/>
                <w:iCs/>
                <w:lang w:val="ru-RU" w:eastAsia="ru-RU"/>
              </w:rPr>
            </w:pP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-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глибина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– не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менше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3</w:t>
            </w:r>
            <w:r w:rsidRPr="00F1270C">
              <w:rPr>
                <w:rFonts w:ascii="Times New Roman" w:eastAsia="Times New Roman" w:hAnsi="Times New Roman"/>
                <w:bCs/>
                <w:iCs/>
                <w:lang w:eastAsia="ru-RU"/>
              </w:rPr>
              <w:t>0</w:t>
            </w:r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0 мм.</w:t>
            </w:r>
          </w:p>
          <w:p w14:paraId="70BC19B3" w14:textId="77777777" w:rsidR="00F1270C" w:rsidRPr="00F1270C" w:rsidRDefault="00F1270C" w:rsidP="00F1270C">
            <w:pPr>
              <w:spacing w:after="0" w:line="240" w:lineRule="auto"/>
              <w:ind w:firstLine="5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Гарантійний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термін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– не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менше</w:t>
            </w:r>
            <w:proofErr w:type="spell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 xml:space="preserve"> 12 </w:t>
            </w:r>
            <w:proofErr w:type="spell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місяці</w:t>
            </w:r>
            <w:proofErr w:type="gramStart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в</w:t>
            </w:r>
            <w:proofErr w:type="spellEnd"/>
            <w:proofErr w:type="gramEnd"/>
            <w:r w:rsidRPr="00F1270C">
              <w:rPr>
                <w:rFonts w:ascii="Times New Roman" w:eastAsia="Times New Roman" w:hAnsi="Times New Roman"/>
                <w:bCs/>
                <w:iCs/>
                <w:lang w:val="ru-RU" w:eastAsia="ru-RU"/>
              </w:rPr>
              <w:t>.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32D5DE" w14:textId="77777777" w:rsidR="00F1270C" w:rsidRPr="00F1270C" w:rsidRDefault="00F1270C" w:rsidP="00F1270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</w:tr>
    </w:tbl>
    <w:p w14:paraId="679CC18F" w14:textId="77777777" w:rsidR="00C50322" w:rsidRPr="00F1270C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44A70C8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221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F1270C" w:rsidRP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Предмети, матеріали, обладнання та інвентар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45E3ED9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47094192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1270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</w:t>
      </w:r>
      <w:r w:rsidR="008B67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за КЕКВ 221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B67BF"/>
    <w:multiLevelType w:val="hybridMultilevel"/>
    <w:tmpl w:val="9C34267C"/>
    <w:lvl w:ilvl="0" w:tplc="A5089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3ACE"/>
    <w:multiLevelType w:val="hybridMultilevel"/>
    <w:tmpl w:val="27C404BC"/>
    <w:lvl w:ilvl="0" w:tplc="D48A4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97D47"/>
    <w:multiLevelType w:val="hybridMultilevel"/>
    <w:tmpl w:val="6D72088E"/>
    <w:lvl w:ilvl="0" w:tplc="5EA2F97A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25622"/>
    <w:rsid w:val="001342A1"/>
    <w:rsid w:val="00151DAA"/>
    <w:rsid w:val="00171A09"/>
    <w:rsid w:val="00176380"/>
    <w:rsid w:val="00177171"/>
    <w:rsid w:val="001A17D7"/>
    <w:rsid w:val="001B38E6"/>
    <w:rsid w:val="001C152E"/>
    <w:rsid w:val="001F1FB7"/>
    <w:rsid w:val="00224BD4"/>
    <w:rsid w:val="0024698E"/>
    <w:rsid w:val="00263E8A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81445"/>
    <w:rsid w:val="004B1116"/>
    <w:rsid w:val="004D4277"/>
    <w:rsid w:val="004E1A31"/>
    <w:rsid w:val="0052749A"/>
    <w:rsid w:val="00583EB3"/>
    <w:rsid w:val="00592787"/>
    <w:rsid w:val="005C6D11"/>
    <w:rsid w:val="005D4CEC"/>
    <w:rsid w:val="005F2E47"/>
    <w:rsid w:val="00615E23"/>
    <w:rsid w:val="00622577"/>
    <w:rsid w:val="00636284"/>
    <w:rsid w:val="00681A68"/>
    <w:rsid w:val="00686995"/>
    <w:rsid w:val="006B6294"/>
    <w:rsid w:val="006C65B9"/>
    <w:rsid w:val="006F3A07"/>
    <w:rsid w:val="00710C5C"/>
    <w:rsid w:val="0078084C"/>
    <w:rsid w:val="007C03D5"/>
    <w:rsid w:val="00836910"/>
    <w:rsid w:val="00840DC9"/>
    <w:rsid w:val="00850A42"/>
    <w:rsid w:val="0088711A"/>
    <w:rsid w:val="008B536F"/>
    <w:rsid w:val="008B676D"/>
    <w:rsid w:val="008D7092"/>
    <w:rsid w:val="00946AA6"/>
    <w:rsid w:val="00946C16"/>
    <w:rsid w:val="0096637D"/>
    <w:rsid w:val="009876B7"/>
    <w:rsid w:val="00991541"/>
    <w:rsid w:val="009C6FA0"/>
    <w:rsid w:val="009F1D54"/>
    <w:rsid w:val="00A11306"/>
    <w:rsid w:val="00AA2399"/>
    <w:rsid w:val="00B0754B"/>
    <w:rsid w:val="00B2677F"/>
    <w:rsid w:val="00B61A68"/>
    <w:rsid w:val="00B639CA"/>
    <w:rsid w:val="00B7685C"/>
    <w:rsid w:val="00BA1AAE"/>
    <w:rsid w:val="00BE755D"/>
    <w:rsid w:val="00BF7D39"/>
    <w:rsid w:val="00C50322"/>
    <w:rsid w:val="00C64248"/>
    <w:rsid w:val="00C77D63"/>
    <w:rsid w:val="00C8245D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F11573"/>
    <w:rsid w:val="00F1270C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7</cp:revision>
  <cp:lastPrinted>2024-03-22T13:33:00Z</cp:lastPrinted>
  <dcterms:created xsi:type="dcterms:W3CDTF">2025-05-30T11:07:00Z</dcterms:created>
  <dcterms:modified xsi:type="dcterms:W3CDTF">2025-06-10T10:36:00Z</dcterms:modified>
</cp:coreProperties>
</file>