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EB0746">
        <w:rPr>
          <w:sz w:val="24"/>
          <w:szCs w:val="24"/>
          <w:u w:val="single"/>
          <w:lang w:val="en-US"/>
        </w:rPr>
        <w:t>UA</w:t>
      </w:r>
      <w:r w:rsidRPr="00EB0746">
        <w:rPr>
          <w:sz w:val="24"/>
          <w:szCs w:val="24"/>
          <w:u w:val="single"/>
          <w:lang w:val="ru-RU"/>
        </w:rPr>
        <w:t>-202</w:t>
      </w:r>
      <w:r w:rsidR="00307378" w:rsidRPr="00EB0746">
        <w:rPr>
          <w:sz w:val="24"/>
          <w:szCs w:val="24"/>
          <w:u w:val="single"/>
          <w:lang w:val="ru-RU"/>
        </w:rPr>
        <w:t>5</w:t>
      </w:r>
      <w:r w:rsidRPr="00EB0746">
        <w:rPr>
          <w:sz w:val="24"/>
          <w:szCs w:val="24"/>
          <w:u w:val="single"/>
          <w:lang w:val="ru-RU"/>
        </w:rPr>
        <w:t>-</w:t>
      </w:r>
      <w:r w:rsidR="000C5760">
        <w:rPr>
          <w:sz w:val="24"/>
          <w:szCs w:val="24"/>
          <w:u w:val="single"/>
        </w:rPr>
        <w:t>07</w:t>
      </w:r>
      <w:r w:rsidRPr="00EB0746">
        <w:rPr>
          <w:sz w:val="24"/>
          <w:szCs w:val="24"/>
          <w:u w:val="single"/>
          <w:lang w:val="ru-RU"/>
        </w:rPr>
        <w:t>-</w:t>
      </w:r>
      <w:r w:rsidR="000C5760">
        <w:rPr>
          <w:sz w:val="24"/>
          <w:szCs w:val="24"/>
          <w:u w:val="single"/>
        </w:rPr>
        <w:t>08</w:t>
      </w:r>
      <w:r w:rsidRPr="00EB0746">
        <w:rPr>
          <w:sz w:val="24"/>
          <w:szCs w:val="24"/>
          <w:u w:val="single"/>
          <w:lang w:val="ru-RU"/>
        </w:rPr>
        <w:t>-</w:t>
      </w:r>
      <w:r w:rsidR="000C5760">
        <w:rPr>
          <w:sz w:val="24"/>
          <w:szCs w:val="24"/>
          <w:u w:val="single"/>
          <w:lang w:val="ru-RU"/>
        </w:rPr>
        <w:t>009707</w:t>
      </w:r>
      <w:r w:rsidRPr="00EB0746">
        <w:rPr>
          <w:sz w:val="24"/>
          <w:szCs w:val="24"/>
          <w:u w:val="single"/>
          <w:lang w:val="ru-RU"/>
        </w:rPr>
        <w:t>-</w:t>
      </w:r>
      <w:r w:rsidRPr="00EB0746">
        <w:rPr>
          <w:sz w:val="24"/>
          <w:szCs w:val="24"/>
          <w:u w:val="single"/>
          <w:lang w:val="en-US"/>
        </w:rPr>
        <w:t>a</w:t>
      </w:r>
      <w:r w:rsidRPr="00EB0746">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770896" w:rsidRDefault="000C5760" w:rsidP="007E48A6">
      <w:pPr>
        <w:tabs>
          <w:tab w:val="left" w:pos="9639"/>
        </w:tabs>
        <w:ind w:firstLine="567"/>
        <w:jc w:val="both"/>
        <w:rPr>
          <w:color w:val="000000"/>
          <w:sz w:val="24"/>
          <w:szCs w:val="24"/>
          <w:lang w:eastAsia="ru-RU"/>
        </w:rPr>
      </w:pPr>
      <w:r w:rsidRPr="000C5760">
        <w:rPr>
          <w:color w:val="000000"/>
          <w:sz w:val="24"/>
          <w:szCs w:val="24"/>
          <w:lang w:eastAsia="ru-RU"/>
        </w:rPr>
        <w:t>«Послуги з надання розширеного клієнтського доступу до підсистеми "Електронний суд" та "Електронний кабінет" Єдиної судової інформаційно-телекомунікаційної системи" за кодом ДК 021:2015 72260000 -5 Послуги, пов’язані з програмним забезпеченням»</w:t>
      </w:r>
      <w:r>
        <w:rPr>
          <w:color w:val="000000"/>
          <w:sz w:val="24"/>
          <w:szCs w:val="24"/>
          <w:lang w:eastAsia="ru-RU"/>
        </w:rPr>
        <w:t>.</w:t>
      </w:r>
    </w:p>
    <w:p w:rsidR="000C5760" w:rsidRDefault="000C5760" w:rsidP="007E48A6">
      <w:pPr>
        <w:tabs>
          <w:tab w:val="left" w:pos="9639"/>
        </w:tabs>
        <w:ind w:firstLine="567"/>
        <w:jc w:val="both"/>
        <w:rPr>
          <w:rFonts w:cs="Times New Roman"/>
          <w:sz w:val="24"/>
          <w:szCs w:val="24"/>
        </w:rPr>
      </w:pPr>
    </w:p>
    <w:p w:rsidR="0003718E" w:rsidRDefault="00D56785" w:rsidP="007E48A6">
      <w:pPr>
        <w:tabs>
          <w:tab w:val="left" w:pos="9639"/>
        </w:tabs>
        <w:ind w:firstLine="567"/>
        <w:jc w:val="both"/>
        <w:rPr>
          <w:rFonts w:cs="Times New Roman"/>
          <w:sz w:val="24"/>
          <w:szCs w:val="24"/>
        </w:rPr>
      </w:pPr>
      <w:r>
        <w:rPr>
          <w:rFonts w:cs="Times New Roman"/>
          <w:sz w:val="24"/>
          <w:szCs w:val="24"/>
        </w:rPr>
        <w:t>2.</w:t>
      </w:r>
      <w:r w:rsidR="0003718E"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sidR="0003718E">
        <w:rPr>
          <w:rFonts w:cs="Times New Roman"/>
          <w:sz w:val="24"/>
          <w:szCs w:val="24"/>
        </w:rPr>
        <w:t>.</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До складу та обсягу Послуги з розширеного клієнтського доступу до підсистем «Електронний суд» та «Електронний кабінет» Єдиної судової інформаційно-телекомунікаційної системи входять:</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 надання можливості використання відповідного програмного забезпечення (Сервіс корпоративного доступу до підсистем «Електронний суд» та «Електронний кабінет»), яке належним чином забезпечує реалізацію можливості розширеного клієнтського доступу до підсистем;</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 надання Замовнику цілодобового безперешкодного розширеного клієнтського доступу відповідно до Порядку надання розширеного клієнтського доступу до підсистем Єдиної судової інформаційно-телекомунікаційної системи.</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Закупівля Державною митною службою України у Державного підприємства «Інформаційні судові системи» послуг за предметом «72260000-5 – Послуги, пов’язані з програмним забезпеченням (Послуги з надання розширеного клієнтського доступу до підсистем «Електронний суд» та «Електронний кабінет» Єдиної судової інформаційно- телекомунікаційної системи)» обумовлена необхідністю забезпечення автоматизованої взаємодії системи електронного документообігу АСКОД (далі – СЕД АСКОД) Держмитслужби з Єдиною судовою інформаційно-телекомунікаційною системою (далі – ЄСІТС) у частині обміну процесуальними документами в електронній формі між учасниками судового процесу відповідно до Закону України від 29.06.2023 № 3200-ІХ «Про внесення змін до деяких законодавчих актів України щодо обов’язкової реєстрації та використання електронних кабінетів в Єдиній судовій інформаційно-телекомунікаційній системі або її окремій підсистемі (модулі), що забезпечує обмін документами» (далі – Закон № 3200-ІХ).</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Отримання розширеного клієнтського доступу до підсистем ЄСІТС дозволить автоматизувати претензійно-позовну роботу Держмитслужби в СЕД АСКОД.</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Поряд з цим при розгляді питання про укладення договору закупівлі (Послуг з надання розширеного клієнтського доступу до підсистем «Електронний суд» та «Електронний кабінет» Єдиної судової інформаційно-телекомунікаційної системи)» на 2025 рік, розглянуто лист Державного підприємства «Інформаційні судові системи» (далі – Підприємство) від 13.01.2025 (</w:t>
      </w:r>
      <w:proofErr w:type="spellStart"/>
      <w:r w:rsidRPr="000C5760">
        <w:rPr>
          <w:rFonts w:cs="Times New Roman"/>
          <w:sz w:val="24"/>
          <w:szCs w:val="24"/>
        </w:rPr>
        <w:t>вх</w:t>
      </w:r>
      <w:proofErr w:type="spellEnd"/>
      <w:r w:rsidRPr="000C5760">
        <w:rPr>
          <w:rFonts w:cs="Times New Roman"/>
          <w:sz w:val="24"/>
          <w:szCs w:val="24"/>
        </w:rPr>
        <w:t>. № 06-3596 від 13.01.2025) та встановлено наступне.</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 xml:space="preserve">Відповідно до статті 151 Закону України «Про судоустрій і статус суддів» у судах, Вищій раді правосуддя, Вищій кваліфікаційній комісії суддів України, Державній судовій </w:t>
      </w:r>
      <w:r w:rsidRPr="000C5760">
        <w:rPr>
          <w:rFonts w:cs="Times New Roman"/>
          <w:sz w:val="24"/>
          <w:szCs w:val="24"/>
        </w:rPr>
        <w:lastRenderedPageBreak/>
        <w:t>адміністрації України, їх органах та підрозділах функціонує Єдина судова інформаційно-телекомунікаційна система.</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Вища рада правосуддя рішенням від 17.08.2021 №1845/0/15-21 затвердила Положення про порядок функціонування окремих підсистем Єдиної судової інформаційно-телекомунікаційної системи.</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 xml:space="preserve">Положення визначає порядок функціонування в судах та органах системи правосуддя окремих підсистем (модулів) Єдиної судової інформаційно- телекомунікаційної системи, зокрема підсистем "Електронний кабінет", "Електронний суд" та підсистеми </w:t>
      </w:r>
      <w:proofErr w:type="spellStart"/>
      <w:r w:rsidRPr="000C5760">
        <w:rPr>
          <w:rFonts w:cs="Times New Roman"/>
          <w:sz w:val="24"/>
          <w:szCs w:val="24"/>
        </w:rPr>
        <w:t>відеоконференцзв'язку</w:t>
      </w:r>
      <w:proofErr w:type="spellEnd"/>
      <w:r w:rsidRPr="000C5760">
        <w:rPr>
          <w:rFonts w:cs="Times New Roman"/>
          <w:sz w:val="24"/>
          <w:szCs w:val="24"/>
        </w:rPr>
        <w:t>; порядок вчинення процесуальних дій в електронній формі з використанням таких підсистем; особливості використання в судах та органах системи правосуддя іншого програмного забезпечення в перехідний період до початку функціонування Єдиної судової інформаційно-телекомунікаційної системи у складі всіх підсистем (модулів).</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До 01.01.2024 адміністратором підсистем «Електронний суд» та «Електронний кабінет» Єдиної судової інформаційно-телекомунікаційної системи наказом Державної судової адміністрації України від 26.10.2021 № 362 «Про приведення у відповідність із діючим законодавством нормативно- правових актів ДСА України» було визначено державне підприємство «Центр судових сервісів».</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При виконанні функцій адміністратора державним підприємством «Центр судових сервісів» було розроблено власне програмне забезпечення – комп’ютерна програма «API корпорація до електронного суду», сервіс корпоративного доступу до підсистем «Електронний суд» та «Електронний кабінет», який забезпечує розширений клієнтський доступ до підсистеми «Електронний суд».</w:t>
      </w:r>
    </w:p>
    <w:p w:rsidR="000C5760" w:rsidRPr="000C5760" w:rsidRDefault="000C5760" w:rsidP="000C5760">
      <w:pPr>
        <w:tabs>
          <w:tab w:val="left" w:pos="9639"/>
        </w:tabs>
        <w:ind w:firstLine="567"/>
        <w:jc w:val="both"/>
        <w:rPr>
          <w:rFonts w:cs="Times New Roman"/>
          <w:sz w:val="24"/>
          <w:szCs w:val="24"/>
        </w:rPr>
      </w:pPr>
      <w:r w:rsidRPr="000C5760">
        <w:rPr>
          <w:rFonts w:cs="Times New Roman"/>
          <w:sz w:val="24"/>
          <w:szCs w:val="24"/>
        </w:rPr>
        <w:t>Відповідно до наказу ДСА України від 22.09.2022 № 333 (в редакції наказу від 10.11.2023 № 523) «Про визначення адміністратора», з 01.01.2024 Підприємство визначено адміністратором (далі – адміністратор) Єдиної судової інформаційно-телекомунікаційної системи та інших інформаційних систем і сервісів судової влади. Відповідно до наказу ДСА України від 30.11.2023 № 552 окреме індивідуально визначене майно державного підприємства «Центр судових сервісів» з 01.01.2024 передане державному підприємству «Інформаційні судові системи» як адміністратору ЄСІТС, у тому числі комп’ютерна програма «API корпорація до електронного суду», також між сторонами укладено договір від 28.12.2023 № 28-12/01ПЗ про передачу Підприємству майнових прав на дане програмне забезпечення з 01.01.2024. Під «майновими правами» розуміються майнові права інтелектуальної власності передбачені статями 424, 430 та 440 Цивільного кодексу України (надалі –  Кодекс), Законом України «Про авторське право та суміжні права» від 01.12.2022 № 2811-IX (із змінами та доповненнями). Таким чином Підприємство з 01.01.2024 володіє виключними правами на використання програмних продуктів «Електронний суд» та «API корпорація до електронного суду», має право самостійно здійснювати та/або дозволяти внесення будь-яких змін до програмного забезпечення, створювати на основі програмного забезпечення нові програмні продукти. Підприємство забезпечено необхідними технічними можливостями та повноваженнями щодо надання послуг, пов’язаних із супроводженням та адмініструванням підсистем «Електронний суд» та «Електронний кабінет» Єдиної судової інформаційно- телекомунікаційної системи та надання можливості використання відповідного програмного забезпечення (Сервіс корпоративного доступу до підсистем «Електронний суд» та «Електронний кабінет»), яке належним чином забезпечує реалізацію можливості розширеного клієнтського доступу до вказаних підсистем.</w:t>
      </w:r>
    </w:p>
    <w:p w:rsidR="00770896" w:rsidRDefault="00770896" w:rsidP="00770896">
      <w:pPr>
        <w:tabs>
          <w:tab w:val="left" w:pos="9639"/>
        </w:tabs>
        <w:ind w:firstLine="567"/>
        <w:jc w:val="both"/>
        <w:rPr>
          <w:rFonts w:cs="Times New Roman"/>
          <w:sz w:val="24"/>
          <w:szCs w:val="24"/>
        </w:rPr>
      </w:pPr>
      <w:r w:rsidRPr="00770896">
        <w:rPr>
          <w:rFonts w:cs="Times New Roman"/>
          <w:sz w:val="24"/>
          <w:szCs w:val="24"/>
        </w:rPr>
        <w:t>Обґрунтування обсягів закупівлі: обсяги закупівлі визначені відповідно до наявної потреби замовника на зазначені послуги у 2025 році.</w:t>
      </w:r>
    </w:p>
    <w:p w:rsidR="00770896" w:rsidRDefault="00770896" w:rsidP="007E48A6">
      <w:pPr>
        <w:tabs>
          <w:tab w:val="left" w:pos="9639"/>
        </w:tabs>
        <w:ind w:firstLine="567"/>
        <w:jc w:val="both"/>
        <w:rPr>
          <w:rFonts w:cs="Times New Roman"/>
          <w:sz w:val="24"/>
          <w:szCs w:val="24"/>
        </w:rPr>
      </w:pP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3. Обґрунтування технічних та якісних характеристик закупівлі (якісні характеристики).</w:t>
      </w: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Визначено відповідно до потреб замовника та з урахуванням загальноприйнятих норм і стандартів для зазначеного предмета закупівлі.</w:t>
      </w:r>
    </w:p>
    <w:p w:rsidR="00EB0746" w:rsidRDefault="00EB0746" w:rsidP="00EB0746">
      <w:pPr>
        <w:ind w:firstLine="567"/>
        <w:jc w:val="center"/>
        <w:rPr>
          <w:rFonts w:eastAsia="Times New Roman" w:cs="Times New Roman"/>
          <w:b/>
          <w:bCs/>
          <w:sz w:val="24"/>
          <w:szCs w:val="24"/>
          <w:lang w:eastAsia="uk-UA"/>
        </w:rPr>
      </w:pPr>
    </w:p>
    <w:p w:rsidR="00770896" w:rsidRDefault="00770896" w:rsidP="007E48A6">
      <w:pPr>
        <w:tabs>
          <w:tab w:val="left" w:pos="9639"/>
        </w:tabs>
        <w:ind w:firstLine="567"/>
        <w:jc w:val="both"/>
        <w:rPr>
          <w:rFonts w:cs="Times New Roman"/>
          <w:sz w:val="24"/>
          <w:szCs w:val="24"/>
        </w:rPr>
      </w:pPr>
    </w:p>
    <w:p w:rsidR="00545AAF" w:rsidRDefault="00545AAF" w:rsidP="007E48A6">
      <w:pPr>
        <w:tabs>
          <w:tab w:val="left" w:pos="9639"/>
        </w:tabs>
        <w:ind w:firstLine="567"/>
        <w:jc w:val="both"/>
        <w:rPr>
          <w:rFonts w:cs="Times New Roman"/>
          <w:sz w:val="24"/>
          <w:szCs w:val="24"/>
        </w:rPr>
      </w:pPr>
    </w:p>
    <w:p w:rsidR="00F14357" w:rsidRPr="00545AAF" w:rsidRDefault="00770896" w:rsidP="00545AAF">
      <w:pPr>
        <w:autoSpaceDE w:val="0"/>
        <w:autoSpaceDN w:val="0"/>
        <w:adjustRightInd w:val="0"/>
        <w:ind w:firstLine="567"/>
        <w:jc w:val="both"/>
        <w:rPr>
          <w:b/>
          <w:bCs/>
          <w:color w:val="000000" w:themeColor="text1"/>
          <w:sz w:val="24"/>
          <w:szCs w:val="24"/>
          <w:lang w:eastAsia="uk-UA"/>
        </w:rPr>
      </w:pPr>
      <w:r w:rsidRPr="00545AAF">
        <w:rPr>
          <w:b/>
          <w:sz w:val="24"/>
          <w:szCs w:val="24"/>
        </w:rPr>
        <w:t>4.</w:t>
      </w:r>
      <w:r w:rsidR="00092F91" w:rsidRPr="00545AAF">
        <w:rPr>
          <w:b/>
          <w:sz w:val="24"/>
          <w:szCs w:val="24"/>
        </w:rPr>
        <w:t>Обґрунтування очікуваної вартості закупівлі</w:t>
      </w:r>
      <w:r w:rsidR="00092F91" w:rsidRPr="00092F91">
        <w:rPr>
          <w:b/>
        </w:rPr>
        <w:t>:</w:t>
      </w:r>
      <w:r w:rsidR="00092F91" w:rsidRPr="00092F91">
        <w:t xml:space="preserve"> </w:t>
      </w:r>
      <w:r w:rsidRPr="00545AAF">
        <w:rPr>
          <w:sz w:val="24"/>
          <w:szCs w:val="24"/>
        </w:rPr>
        <w:t xml:space="preserve">Очікувана вартість предмета закупівлі: </w:t>
      </w:r>
      <w:r w:rsidR="000C5760">
        <w:rPr>
          <w:sz w:val="24"/>
          <w:szCs w:val="24"/>
        </w:rPr>
        <w:t>72</w:t>
      </w:r>
      <w:r w:rsidRPr="00545AAF">
        <w:rPr>
          <w:sz w:val="24"/>
          <w:szCs w:val="24"/>
        </w:rPr>
        <w:t xml:space="preserve"> 000,00 грн, вартість послуг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w:t>
      </w:r>
      <w:r w:rsidR="00545AAF" w:rsidRPr="00545AAF">
        <w:rPr>
          <w:rFonts w:ascii="TimesNewRomanPSMT" w:hAnsi="TimesNewRomanPSMT" w:cs="TimesNewRomanPSMT"/>
          <w:sz w:val="24"/>
          <w:szCs w:val="24"/>
        </w:rPr>
        <w:t>на</w:t>
      </w:r>
      <w:r w:rsidR="00545AAF">
        <w:rPr>
          <w:rFonts w:ascii="TimesNewRomanPSMT" w:hAnsi="TimesNewRomanPSMT" w:cs="TimesNewRomanPSMT"/>
          <w:sz w:val="24"/>
          <w:szCs w:val="24"/>
        </w:rPr>
        <w:t xml:space="preserve"> </w:t>
      </w:r>
      <w:r w:rsidR="00545AAF" w:rsidRPr="00545AAF">
        <w:rPr>
          <w:rFonts w:ascii="TimesNewRomanPSMT" w:hAnsi="TimesNewRomanPSMT" w:cs="TimesNewRomanPSMT"/>
          <w:sz w:val="24"/>
          <w:szCs w:val="24"/>
        </w:rPr>
        <w:t>підставі проведеного аналізу цін на аналогічні за технічними характеристиками</w:t>
      </w:r>
      <w:r w:rsidR="00545AAF">
        <w:rPr>
          <w:rFonts w:ascii="TimesNewRomanPSMT" w:hAnsi="TimesNewRomanPSMT" w:cs="TimesNewRomanPSMT"/>
          <w:sz w:val="24"/>
          <w:szCs w:val="24"/>
        </w:rPr>
        <w:t xml:space="preserve"> </w:t>
      </w:r>
      <w:r w:rsidR="00545AAF" w:rsidRPr="00545AAF">
        <w:rPr>
          <w:rFonts w:ascii="TimesNewRomanPSMT" w:hAnsi="TimesNewRomanPSMT" w:cs="TimesNewRomanPSMT"/>
          <w:sz w:val="24"/>
          <w:szCs w:val="24"/>
        </w:rPr>
        <w:t xml:space="preserve">послуги </w:t>
      </w:r>
      <w:r w:rsidR="000C5760">
        <w:rPr>
          <w:rFonts w:ascii="TimesNewRomanPSMT" w:hAnsi="TimesNewRomanPSMT" w:cs="TimesNewRomanPSMT"/>
          <w:sz w:val="24"/>
          <w:szCs w:val="24"/>
        </w:rPr>
        <w:t xml:space="preserve">та </w:t>
      </w:r>
      <w:bookmarkStart w:id="0" w:name="_GoBack"/>
      <w:bookmarkEnd w:id="0"/>
      <w:r w:rsidR="000C5760">
        <w:rPr>
          <w:rFonts w:ascii="TimesNewRomanPSMT" w:hAnsi="TimesNewRomanPSMT" w:cs="TimesNewRomanPSMT"/>
          <w:sz w:val="24"/>
          <w:szCs w:val="24"/>
        </w:rPr>
        <w:t>цінової пропозиції учасника.</w:t>
      </w:r>
    </w:p>
    <w:sectPr w:rsidR="00F14357" w:rsidRPr="00545AAF" w:rsidSect="00DD27E5">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0"/>
          <w:jc w:val="center"/>
        </w:pPr>
        <w:r>
          <w:fldChar w:fldCharType="begin"/>
        </w:r>
        <w:r>
          <w:instrText>PAGE   \* MERGEFORMAT</w:instrText>
        </w:r>
        <w:r>
          <w:fldChar w:fldCharType="separate"/>
        </w:r>
        <w:r w:rsidR="00F20928">
          <w:rPr>
            <w:noProof/>
          </w:rPr>
          <w:t>2</w:t>
        </w:r>
        <w:r>
          <w:fldChar w:fldCharType="end"/>
        </w:r>
      </w:p>
    </w:sdtContent>
  </w:sdt>
  <w:p w:rsidR="00DD27E5" w:rsidRDefault="00DD27E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6"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3"/>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3"/>
  </w:num>
  <w:num w:numId="7">
    <w:abstractNumId w:val="17"/>
  </w:num>
  <w:num w:numId="8">
    <w:abstractNumId w:val="12"/>
  </w:num>
  <w:num w:numId="9">
    <w:abstractNumId w:val="11"/>
  </w:num>
  <w:num w:numId="10">
    <w:abstractNumId w:val="24"/>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7"/>
  </w:num>
  <w:num w:numId="19">
    <w:abstractNumId w:val="16"/>
  </w:num>
  <w:num w:numId="20">
    <w:abstractNumId w:val="9"/>
  </w:num>
  <w:num w:numId="21">
    <w:abstractNumId w:val="8"/>
  </w:num>
  <w:num w:numId="22">
    <w:abstractNumId w:val="22"/>
  </w:num>
  <w:num w:numId="23">
    <w:abstractNumId w:val="20"/>
  </w:num>
  <w:num w:numId="24">
    <w:abstractNumId w:val="6"/>
  </w:num>
  <w:num w:numId="25">
    <w:abstractNumId w:val="4"/>
  </w:num>
  <w:num w:numId="26">
    <w:abstractNumId w:val="25"/>
  </w:num>
  <w:num w:numId="27">
    <w:abstractNumId w:val="7"/>
  </w:num>
  <w:num w:numId="28">
    <w:abstractNumId w:val="18"/>
  </w:num>
  <w:num w:numId="29">
    <w:abstractNumId w:val="4"/>
  </w:num>
  <w:num w:numId="30">
    <w:abstractNumId w:val="7"/>
  </w:num>
  <w:num w:numId="31">
    <w:abstractNumId w:val="25"/>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13B79"/>
    <w:rsid w:val="00034B71"/>
    <w:rsid w:val="0003718E"/>
    <w:rsid w:val="00092F91"/>
    <w:rsid w:val="000C5760"/>
    <w:rsid w:val="000C6E30"/>
    <w:rsid w:val="00137FCC"/>
    <w:rsid w:val="001463DB"/>
    <w:rsid w:val="00146928"/>
    <w:rsid w:val="0022794A"/>
    <w:rsid w:val="002C3B73"/>
    <w:rsid w:val="00307378"/>
    <w:rsid w:val="0033663D"/>
    <w:rsid w:val="003401D7"/>
    <w:rsid w:val="00402568"/>
    <w:rsid w:val="00431039"/>
    <w:rsid w:val="00442037"/>
    <w:rsid w:val="00464A76"/>
    <w:rsid w:val="00534801"/>
    <w:rsid w:val="00545AAF"/>
    <w:rsid w:val="005527AD"/>
    <w:rsid w:val="0055505C"/>
    <w:rsid w:val="006F557D"/>
    <w:rsid w:val="00710917"/>
    <w:rsid w:val="007329CB"/>
    <w:rsid w:val="00733068"/>
    <w:rsid w:val="00770896"/>
    <w:rsid w:val="007E48A6"/>
    <w:rsid w:val="0084248B"/>
    <w:rsid w:val="008463DD"/>
    <w:rsid w:val="00860A1D"/>
    <w:rsid w:val="00870DFB"/>
    <w:rsid w:val="008C5606"/>
    <w:rsid w:val="008F2925"/>
    <w:rsid w:val="0092337D"/>
    <w:rsid w:val="00957C68"/>
    <w:rsid w:val="0098055A"/>
    <w:rsid w:val="00984C2C"/>
    <w:rsid w:val="009850B7"/>
    <w:rsid w:val="009B5358"/>
    <w:rsid w:val="009B6ECD"/>
    <w:rsid w:val="00A238BF"/>
    <w:rsid w:val="00B24970"/>
    <w:rsid w:val="00BC2816"/>
    <w:rsid w:val="00C0074F"/>
    <w:rsid w:val="00CC3F28"/>
    <w:rsid w:val="00D05BF4"/>
    <w:rsid w:val="00D56785"/>
    <w:rsid w:val="00DD27E5"/>
    <w:rsid w:val="00EB0746"/>
    <w:rsid w:val="00EE391C"/>
    <w:rsid w:val="00F14357"/>
    <w:rsid w:val="00F20928"/>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B747"/>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к"/>
    <w:basedOn w:val="a0"/>
    <w:link w:val="ac"/>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d">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e"/>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e">
    <w:name w:val="Table Grid"/>
    <w:basedOn w:val="a2"/>
    <w:uiPriority w:val="5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0">
    <w:name w:val="header"/>
    <w:basedOn w:val="a0"/>
    <w:link w:val="af1"/>
    <w:uiPriority w:val="99"/>
    <w:unhideWhenUsed/>
    <w:rsid w:val="00DD27E5"/>
    <w:pPr>
      <w:tabs>
        <w:tab w:val="center" w:pos="4819"/>
        <w:tab w:val="right" w:pos="9639"/>
      </w:tabs>
    </w:pPr>
  </w:style>
  <w:style w:type="character" w:customStyle="1" w:styleId="af1">
    <w:name w:val="Верхній колонтитул Знак"/>
    <w:basedOn w:val="a1"/>
    <w:link w:val="af0"/>
    <w:uiPriority w:val="99"/>
    <w:rsid w:val="00DD27E5"/>
    <w:rPr>
      <w:rFonts w:ascii="Times New Roman" w:hAnsi="Times New Roman"/>
      <w:sz w:val="28"/>
    </w:rPr>
  </w:style>
  <w:style w:type="paragraph" w:styleId="af2">
    <w:name w:val="footer"/>
    <w:basedOn w:val="a0"/>
    <w:link w:val="af3"/>
    <w:uiPriority w:val="99"/>
    <w:unhideWhenUsed/>
    <w:rsid w:val="00DD27E5"/>
    <w:pPr>
      <w:tabs>
        <w:tab w:val="center" w:pos="4819"/>
        <w:tab w:val="right" w:pos="9639"/>
      </w:tabs>
    </w:pPr>
  </w:style>
  <w:style w:type="character" w:customStyle="1" w:styleId="af3">
    <w:name w:val="Нижній колонтитул Знак"/>
    <w:basedOn w:val="a1"/>
    <w:link w:val="af2"/>
    <w:uiPriority w:val="99"/>
    <w:rsid w:val="00DD27E5"/>
    <w:rPr>
      <w:rFonts w:ascii="Times New Roman" w:hAnsi="Times New Roman"/>
      <w:sz w:val="28"/>
    </w:rPr>
  </w:style>
  <w:style w:type="numbering" w:customStyle="1" w:styleId="13">
    <w:name w:val="Немає списку1"/>
    <w:next w:val="a3"/>
    <w:uiPriority w:val="99"/>
    <w:semiHidden/>
    <w:unhideWhenUsed/>
    <w:rsid w:val="00770896"/>
  </w:style>
  <w:style w:type="character" w:customStyle="1" w:styleId="ac">
    <w:name w:val="Звичайний (веб) Знак"/>
    <w:aliases w:val="Обычный (Web)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b"/>
    <w:locked/>
    <w:rsid w:val="00770896"/>
    <w:rPr>
      <w:rFonts w:ascii="Times New Roman" w:eastAsia="Times New Roman" w:hAnsi="Times New Roman" w:cs="Times New Roman"/>
      <w:sz w:val="24"/>
      <w:szCs w:val="24"/>
      <w:lang w:val="ru-RU" w:eastAsia="ru-RU"/>
    </w:rPr>
  </w:style>
  <w:style w:type="character" w:customStyle="1" w:styleId="af4">
    <w:name w:val="Текст примітки Знак"/>
    <w:basedOn w:val="a1"/>
    <w:link w:val="af5"/>
    <w:uiPriority w:val="99"/>
    <w:semiHidden/>
    <w:locked/>
    <w:rsid w:val="00770896"/>
    <w:rPr>
      <w:rFonts w:ascii="Times New Roman" w:hAnsi="Times New Roman" w:cs="Times New Roman"/>
      <w:sz w:val="20"/>
      <w:szCs w:val="20"/>
    </w:rPr>
  </w:style>
  <w:style w:type="character" w:customStyle="1" w:styleId="af6">
    <w:name w:val="Основний текст Знак"/>
    <w:basedOn w:val="a1"/>
    <w:link w:val="af7"/>
    <w:uiPriority w:val="99"/>
    <w:semiHidden/>
    <w:locked/>
    <w:rsid w:val="00770896"/>
    <w:rPr>
      <w:rFonts w:ascii="?? °µ" w:eastAsia="Batang" w:hAnsi="?? °µ" w:cs="Times New Roman"/>
      <w:sz w:val="24"/>
      <w:szCs w:val="24"/>
      <w:lang w:eastAsia="uk-UA"/>
    </w:rPr>
  </w:style>
  <w:style w:type="paragraph" w:styleId="af5">
    <w:name w:val="annotation text"/>
    <w:basedOn w:val="a0"/>
    <w:link w:val="af4"/>
    <w:uiPriority w:val="99"/>
    <w:semiHidden/>
    <w:unhideWhenUsed/>
    <w:rsid w:val="00770896"/>
    <w:rPr>
      <w:rFonts w:cs="Times New Roman"/>
      <w:sz w:val="20"/>
      <w:szCs w:val="20"/>
    </w:rPr>
  </w:style>
  <w:style w:type="character" w:customStyle="1" w:styleId="14">
    <w:name w:val="Текст примітки Знак1"/>
    <w:basedOn w:val="a1"/>
    <w:uiPriority w:val="99"/>
    <w:semiHidden/>
    <w:rsid w:val="00770896"/>
    <w:rPr>
      <w:rFonts w:ascii="Times New Roman" w:hAnsi="Times New Roman"/>
      <w:sz w:val="20"/>
      <w:szCs w:val="20"/>
    </w:rPr>
  </w:style>
  <w:style w:type="character" w:customStyle="1" w:styleId="af8">
    <w:name w:val="Тема примітки Знак"/>
    <w:basedOn w:val="af4"/>
    <w:link w:val="af9"/>
    <w:uiPriority w:val="99"/>
    <w:semiHidden/>
    <w:locked/>
    <w:rsid w:val="00770896"/>
    <w:rPr>
      <w:rFonts w:ascii="Times New Roman" w:hAnsi="Times New Roman" w:cs="Times New Roman"/>
      <w:b/>
      <w:bCs/>
      <w:sz w:val="20"/>
      <w:szCs w:val="20"/>
    </w:rPr>
  </w:style>
  <w:style w:type="paragraph" w:customStyle="1" w:styleId="15">
    <w:name w:val="Обычный1"/>
    <w:qFormat/>
    <w:rsid w:val="00770896"/>
    <w:pPr>
      <w:spacing w:after="0" w:line="276" w:lineRule="auto"/>
    </w:pPr>
    <w:rPr>
      <w:rFonts w:ascii="Arial" w:eastAsia="Calibri" w:hAnsi="Arial" w:cs="Arial"/>
      <w:color w:val="000000"/>
      <w:lang w:val="ru-RU" w:eastAsia="ru-RU"/>
    </w:rPr>
  </w:style>
  <w:style w:type="paragraph" w:customStyle="1" w:styleId="16">
    <w:name w:val="Без интервала1"/>
    <w:qFormat/>
    <w:rsid w:val="00770896"/>
    <w:pPr>
      <w:suppressAutoHyphens/>
      <w:spacing w:after="0" w:line="240" w:lineRule="auto"/>
    </w:pPr>
    <w:rPr>
      <w:rFonts w:ascii="Calibri" w:eastAsia="Times New Roman" w:hAnsi="Calibri" w:cs="Times New Roman"/>
      <w:lang w:val="ru-RU" w:eastAsia="ar-SA"/>
    </w:rPr>
  </w:style>
  <w:style w:type="paragraph" w:customStyle="1" w:styleId="25">
    <w:name w:val="???????2"/>
    <w:qFormat/>
    <w:rsid w:val="00770896"/>
    <w:pPr>
      <w:suppressAutoHyphens/>
      <w:overflowPunct w:val="0"/>
      <w:autoSpaceDE w:val="0"/>
      <w:autoSpaceDN w:val="0"/>
      <w:adjustRightInd w:val="0"/>
      <w:spacing w:after="0" w:line="276" w:lineRule="auto"/>
    </w:pPr>
    <w:rPr>
      <w:rFonts w:ascii="Arial" w:eastAsia="Times New Roman" w:hAnsi="Arial" w:cs="Times New Roman"/>
      <w:color w:val="000000"/>
      <w:szCs w:val="20"/>
      <w:lang w:val="ru-RU" w:eastAsia="ru-RU"/>
    </w:rPr>
  </w:style>
  <w:style w:type="character" w:styleId="afa">
    <w:name w:val="annotation reference"/>
    <w:basedOn w:val="a1"/>
    <w:uiPriority w:val="99"/>
    <w:semiHidden/>
    <w:unhideWhenUsed/>
    <w:rsid w:val="00770896"/>
    <w:rPr>
      <w:sz w:val="16"/>
      <w:szCs w:val="16"/>
    </w:rPr>
  </w:style>
  <w:style w:type="paragraph" w:styleId="af7">
    <w:name w:val="Body Text"/>
    <w:basedOn w:val="a0"/>
    <w:link w:val="af6"/>
    <w:uiPriority w:val="99"/>
    <w:semiHidden/>
    <w:unhideWhenUsed/>
    <w:rsid w:val="00770896"/>
    <w:pPr>
      <w:spacing w:after="120"/>
    </w:pPr>
    <w:rPr>
      <w:rFonts w:ascii="?? °µ" w:eastAsia="Batang" w:hAnsi="?? °µ" w:cs="Times New Roman"/>
      <w:sz w:val="24"/>
      <w:szCs w:val="24"/>
      <w:lang w:eastAsia="uk-UA"/>
    </w:rPr>
  </w:style>
  <w:style w:type="character" w:customStyle="1" w:styleId="17">
    <w:name w:val="Основний текст Знак1"/>
    <w:basedOn w:val="a1"/>
    <w:uiPriority w:val="99"/>
    <w:semiHidden/>
    <w:rsid w:val="00770896"/>
    <w:rPr>
      <w:rFonts w:ascii="Times New Roman" w:hAnsi="Times New Roman"/>
      <w:sz w:val="28"/>
    </w:rPr>
  </w:style>
  <w:style w:type="character" w:customStyle="1" w:styleId="18">
    <w:name w:val="Текст у виносці Знак1"/>
    <w:basedOn w:val="a1"/>
    <w:uiPriority w:val="99"/>
    <w:semiHidden/>
    <w:rsid w:val="00770896"/>
    <w:rPr>
      <w:rFonts w:ascii="Segoe UI" w:eastAsia="Calibri" w:hAnsi="Segoe UI" w:cs="Segoe UI"/>
      <w:sz w:val="18"/>
      <w:szCs w:val="18"/>
    </w:rPr>
  </w:style>
  <w:style w:type="paragraph" w:styleId="af9">
    <w:name w:val="annotation subject"/>
    <w:basedOn w:val="af5"/>
    <w:next w:val="af5"/>
    <w:link w:val="af8"/>
    <w:uiPriority w:val="99"/>
    <w:semiHidden/>
    <w:unhideWhenUsed/>
    <w:rsid w:val="00770896"/>
    <w:rPr>
      <w:b/>
      <w:bCs/>
    </w:rPr>
  </w:style>
  <w:style w:type="character" w:customStyle="1" w:styleId="19">
    <w:name w:val="Тема примітки Знак1"/>
    <w:basedOn w:val="14"/>
    <w:uiPriority w:val="99"/>
    <w:semiHidden/>
    <w:rsid w:val="00770896"/>
    <w:rPr>
      <w:rFonts w:ascii="Times New Roman" w:hAnsi="Times New Roman"/>
      <w:b/>
      <w:bCs/>
      <w:sz w:val="20"/>
      <w:szCs w:val="20"/>
    </w:rPr>
  </w:style>
  <w:style w:type="character" w:customStyle="1" w:styleId="1a">
    <w:name w:val="Верхній колонтитул Знак1"/>
    <w:basedOn w:val="a1"/>
    <w:uiPriority w:val="99"/>
    <w:semiHidden/>
    <w:rsid w:val="00770896"/>
    <w:rPr>
      <w:rFonts w:ascii="Times New Roman" w:eastAsia="Calibri" w:hAnsi="Times New Roman" w:cs="Times New Roman"/>
      <w:sz w:val="28"/>
    </w:rPr>
  </w:style>
  <w:style w:type="character" w:customStyle="1" w:styleId="1b">
    <w:name w:val="Нижній колонтитул Знак1"/>
    <w:basedOn w:val="a1"/>
    <w:uiPriority w:val="99"/>
    <w:semiHidden/>
    <w:rsid w:val="00770896"/>
    <w:rPr>
      <w:rFonts w:ascii="Times New Roman" w:eastAsia="Calibri" w:hAnsi="Times New Roman" w:cs="Times New Roman"/>
      <w:sz w:val="28"/>
    </w:rPr>
  </w:style>
  <w:style w:type="table" w:customStyle="1" w:styleId="1c">
    <w:name w:val="Сітка таблиці1"/>
    <w:basedOn w:val="a2"/>
    <w:next w:val="ae"/>
    <w:uiPriority w:val="39"/>
    <w:rsid w:val="0077089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06161">
      <w:bodyDiv w:val="1"/>
      <w:marLeft w:val="0"/>
      <w:marRight w:val="0"/>
      <w:marTop w:val="0"/>
      <w:marBottom w:val="0"/>
      <w:divBdr>
        <w:top w:val="none" w:sz="0" w:space="0" w:color="auto"/>
        <w:left w:val="none" w:sz="0" w:space="0" w:color="auto"/>
        <w:bottom w:val="none" w:sz="0" w:space="0" w:color="auto"/>
        <w:right w:val="none" w:sz="0" w:space="0" w:color="auto"/>
      </w:divBdr>
    </w:div>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1119304022">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8527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5026</Words>
  <Characters>2865</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55</cp:revision>
  <cp:lastPrinted>2025-07-09T07:44:00Z</cp:lastPrinted>
  <dcterms:created xsi:type="dcterms:W3CDTF">2024-04-11T08:32:00Z</dcterms:created>
  <dcterms:modified xsi:type="dcterms:W3CDTF">2025-07-09T07:45:00Z</dcterms:modified>
</cp:coreProperties>
</file>