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7831"/>
      </w:tblGrid>
      <w:tr w:rsidR="00AF6903" w:rsidTr="00AF6903">
        <w:tc>
          <w:tcPr>
            <w:tcW w:w="2943" w:type="dxa"/>
          </w:tcPr>
          <w:p w:rsidR="00AF6903" w:rsidRDefault="00AF6903" w:rsidP="00AF6903">
            <w:pPr>
              <w:spacing w:after="0" w:line="240" w:lineRule="auto"/>
              <w:rPr>
                <w:rStyle w:val="a3"/>
                <w:rFonts w:ascii="Times New Roman" w:hAnsi="Times New Roman"/>
                <w:bCs/>
                <w:sz w:val="24"/>
                <w:szCs w:val="24"/>
              </w:rPr>
            </w:pPr>
          </w:p>
        </w:tc>
        <w:tc>
          <w:tcPr>
            <w:tcW w:w="7831" w:type="dxa"/>
          </w:tcPr>
          <w:p w:rsidR="00AF6903" w:rsidRDefault="00AF6903" w:rsidP="00AF6903">
            <w:pPr>
              <w:spacing w:after="0" w:line="240" w:lineRule="auto"/>
              <w:jc w:val="right"/>
              <w:rPr>
                <w:rFonts w:ascii="Times New Roman" w:eastAsia="Times New Roman" w:hAnsi="Times New Roman"/>
                <w:b/>
                <w:iCs/>
                <w:sz w:val="24"/>
                <w:szCs w:val="24"/>
                <w:lang w:eastAsia="uk-UA"/>
              </w:rPr>
            </w:pPr>
            <w:r w:rsidRPr="00316C87">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rsidR="00AF6903" w:rsidRPr="00CD457E" w:rsidRDefault="00AF6903" w:rsidP="006331FF">
            <w:pPr>
              <w:spacing w:after="0" w:line="240" w:lineRule="auto"/>
              <w:jc w:val="right"/>
              <w:rPr>
                <w:rStyle w:val="a3"/>
                <w:rFonts w:ascii="Times New Roman" w:hAnsi="Times New Roman"/>
                <w:bCs/>
                <w:sz w:val="16"/>
                <w:szCs w:val="16"/>
              </w:rPr>
            </w:pPr>
          </w:p>
        </w:tc>
      </w:tr>
    </w:tbl>
    <w:p w:rsidR="006331FF" w:rsidRDefault="006331FF" w:rsidP="0044463B">
      <w:pPr>
        <w:spacing w:after="0" w:line="240" w:lineRule="auto"/>
        <w:jc w:val="center"/>
        <w:rPr>
          <w:rFonts w:ascii="Times New Roman" w:eastAsia="Times New Roman" w:hAnsi="Times New Roman"/>
          <w:b/>
          <w:iCs/>
          <w:sz w:val="24"/>
          <w:szCs w:val="24"/>
          <w:lang w:eastAsia="uk-UA"/>
        </w:rPr>
      </w:pPr>
    </w:p>
    <w:p w:rsid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ДЕРЖАВНА МИТНА СЛУЖБА УКРАЇНИ</w:t>
      </w:r>
    </w:p>
    <w:p w:rsidR="00AB6153" w:rsidRP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КИЇВСЬКА МИТНИЦЯ</w:t>
      </w:r>
    </w:p>
    <w:p w:rsidR="00316C87" w:rsidRPr="00AB6153" w:rsidRDefault="0044463B" w:rsidP="0044463B">
      <w:pPr>
        <w:spacing w:after="0" w:line="240" w:lineRule="auto"/>
        <w:jc w:val="center"/>
        <w:rPr>
          <w:rFonts w:ascii="Times New Roman" w:eastAsia="Times New Roman" w:hAnsi="Times New Roman"/>
          <w:b/>
          <w:iCs/>
          <w:sz w:val="24"/>
          <w:szCs w:val="24"/>
          <w:lang w:eastAsia="uk-UA"/>
        </w:rPr>
      </w:pPr>
      <w:r w:rsidRPr="0044463B">
        <w:rPr>
          <w:rFonts w:ascii="Times New Roman" w:eastAsia="Times New Roman" w:hAnsi="Times New Roman"/>
          <w:b/>
          <w:iCs/>
          <w:sz w:val="24"/>
          <w:szCs w:val="24"/>
          <w:lang w:eastAsia="uk-UA"/>
        </w:rPr>
        <w:t xml:space="preserve">Код ЄДРПОУ </w:t>
      </w:r>
      <w:r w:rsidR="00AB6153" w:rsidRPr="00AB6153">
        <w:rPr>
          <w:rFonts w:ascii="Times New Roman" w:hAnsi="Times New Roman"/>
          <w:b/>
          <w:sz w:val="24"/>
          <w:szCs w:val="24"/>
        </w:rPr>
        <w:t>43997555</w:t>
      </w:r>
    </w:p>
    <w:p w:rsidR="0044463B" w:rsidRPr="00CD457E" w:rsidRDefault="0044463B" w:rsidP="0044463B">
      <w:pPr>
        <w:spacing w:after="0" w:line="240" w:lineRule="auto"/>
        <w:jc w:val="center"/>
        <w:rPr>
          <w:rFonts w:ascii="Times New Roman" w:eastAsia="Times New Roman" w:hAnsi="Times New Roman"/>
          <w:bCs/>
          <w:i/>
          <w:sz w:val="16"/>
          <w:szCs w:val="16"/>
          <w:lang w:eastAsia="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3232"/>
        <w:gridCol w:w="6095"/>
      </w:tblGrid>
      <w:tr w:rsidR="0044463B" w:rsidRPr="002C323B" w:rsidTr="00CD457E">
        <w:trPr>
          <w:trHeight w:val="645"/>
        </w:trPr>
        <w:tc>
          <w:tcPr>
            <w:tcW w:w="10036" w:type="dxa"/>
            <w:gridSpan w:val="3"/>
            <w:vAlign w:val="center"/>
          </w:tcPr>
          <w:p w:rsidR="0044463B" w:rsidRPr="00624100" w:rsidRDefault="0044463B" w:rsidP="00A52A66">
            <w:pPr>
              <w:pStyle w:val="Standard"/>
              <w:jc w:val="center"/>
              <w:rPr>
                <w:b/>
                <w:sz w:val="21"/>
                <w:szCs w:val="21"/>
                <w:lang w:val="uk-UA"/>
              </w:rPr>
            </w:pPr>
            <w:r w:rsidRPr="00624100">
              <w:rPr>
                <w:b/>
                <w:sz w:val="21"/>
                <w:szCs w:val="21"/>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44463B" w:rsidTr="00CD457E">
        <w:trPr>
          <w:trHeight w:val="663"/>
        </w:trPr>
        <w:tc>
          <w:tcPr>
            <w:tcW w:w="709" w:type="dxa"/>
            <w:vAlign w:val="center"/>
          </w:tcPr>
          <w:p w:rsidR="0044463B" w:rsidRDefault="0044463B" w:rsidP="00A52A66">
            <w:pPr>
              <w:pStyle w:val="Standard"/>
              <w:jc w:val="center"/>
              <w:rPr>
                <w:lang w:val="uk-UA"/>
              </w:rPr>
            </w:pPr>
            <w:r>
              <w:rPr>
                <w:lang w:val="uk-UA"/>
              </w:rPr>
              <w:t>1</w:t>
            </w:r>
          </w:p>
        </w:tc>
        <w:tc>
          <w:tcPr>
            <w:tcW w:w="3232" w:type="dxa"/>
            <w:vAlign w:val="center"/>
          </w:tcPr>
          <w:p w:rsidR="0044463B" w:rsidRPr="00624100" w:rsidRDefault="0044463B" w:rsidP="00A52A66">
            <w:pPr>
              <w:pStyle w:val="Standard"/>
              <w:jc w:val="both"/>
              <w:rPr>
                <w:sz w:val="21"/>
                <w:szCs w:val="21"/>
                <w:lang w:val="uk-UA"/>
              </w:rPr>
            </w:pPr>
            <w:r w:rsidRPr="00624100">
              <w:rPr>
                <w:sz w:val="21"/>
                <w:szCs w:val="21"/>
                <w:lang w:val="uk-UA"/>
              </w:rPr>
              <w:t>Назва предмета закупівлі</w:t>
            </w:r>
          </w:p>
        </w:tc>
        <w:tc>
          <w:tcPr>
            <w:tcW w:w="6095" w:type="dxa"/>
            <w:vAlign w:val="center"/>
          </w:tcPr>
          <w:p w:rsidR="0044463B" w:rsidRPr="00E21001" w:rsidRDefault="0044463B" w:rsidP="00CD457E">
            <w:pPr>
              <w:spacing w:after="0" w:line="240" w:lineRule="auto"/>
              <w:jc w:val="both"/>
              <w:rPr>
                <w:rFonts w:ascii="Times New Roman" w:hAnsi="Times New Roman"/>
                <w:sz w:val="24"/>
                <w:szCs w:val="24"/>
              </w:rPr>
            </w:pPr>
            <w:r w:rsidRPr="00E21001">
              <w:rPr>
                <w:rFonts w:ascii="Times New Roman" w:hAnsi="Times New Roman"/>
                <w:sz w:val="24"/>
                <w:szCs w:val="24"/>
              </w:rPr>
              <w:t>«</w:t>
            </w:r>
            <w:hyperlink r:id="rId8" w:history="1">
              <w:r w:rsidR="00E21001" w:rsidRPr="00E21001">
                <w:rPr>
                  <w:rStyle w:val="mend05rem"/>
                  <w:rFonts w:ascii="Times New Roman" w:hAnsi="Times New Roman"/>
                  <w:sz w:val="24"/>
                  <w:szCs w:val="24"/>
                </w:rPr>
                <w:t>Поточний ремонт шафового регуляторного пункту - 1965 (ШРП)</w:t>
              </w:r>
            </w:hyperlink>
            <w:r w:rsidRPr="00E21001">
              <w:rPr>
                <w:rFonts w:ascii="Times New Roman" w:hAnsi="Times New Roman"/>
                <w:sz w:val="24"/>
                <w:szCs w:val="24"/>
              </w:rPr>
              <w:t>»</w:t>
            </w:r>
          </w:p>
        </w:tc>
      </w:tr>
      <w:tr w:rsidR="00C46E8E" w:rsidTr="00CD457E">
        <w:trPr>
          <w:trHeight w:val="624"/>
        </w:trPr>
        <w:tc>
          <w:tcPr>
            <w:tcW w:w="709" w:type="dxa"/>
            <w:vAlign w:val="center"/>
          </w:tcPr>
          <w:p w:rsidR="00C46E8E" w:rsidRDefault="00066D2F" w:rsidP="00A52A66">
            <w:pPr>
              <w:pStyle w:val="Standard"/>
              <w:jc w:val="center"/>
              <w:rPr>
                <w:lang w:val="uk-UA"/>
              </w:rPr>
            </w:pPr>
            <w:r>
              <w:rPr>
                <w:lang w:val="uk-UA"/>
              </w:rPr>
              <w:t>2</w:t>
            </w:r>
          </w:p>
        </w:tc>
        <w:tc>
          <w:tcPr>
            <w:tcW w:w="3232" w:type="dxa"/>
            <w:vAlign w:val="center"/>
          </w:tcPr>
          <w:p w:rsidR="00066D2F" w:rsidRPr="00624100" w:rsidRDefault="00066D2F" w:rsidP="00A52A66">
            <w:pPr>
              <w:pStyle w:val="Standard"/>
              <w:jc w:val="both"/>
              <w:rPr>
                <w:sz w:val="21"/>
                <w:szCs w:val="21"/>
                <w:lang w:val="uk-UA"/>
              </w:rPr>
            </w:pPr>
            <w:r w:rsidRPr="00624100">
              <w:rPr>
                <w:sz w:val="21"/>
                <w:szCs w:val="21"/>
                <w:lang w:val="uk-UA"/>
              </w:rPr>
              <w:t xml:space="preserve">Код за класифікатором </w:t>
            </w:r>
          </w:p>
          <w:p w:rsidR="00C46E8E" w:rsidRPr="00624100" w:rsidRDefault="00066D2F" w:rsidP="00A52A66">
            <w:pPr>
              <w:pStyle w:val="Standard"/>
              <w:jc w:val="both"/>
              <w:rPr>
                <w:sz w:val="21"/>
                <w:szCs w:val="21"/>
                <w:lang w:val="uk-UA"/>
              </w:rPr>
            </w:pPr>
            <w:r w:rsidRPr="00624100">
              <w:rPr>
                <w:sz w:val="21"/>
                <w:szCs w:val="21"/>
                <w:lang w:val="uk-UA"/>
              </w:rPr>
              <w:t>ДК 021:2015 (CPV)</w:t>
            </w:r>
          </w:p>
        </w:tc>
        <w:tc>
          <w:tcPr>
            <w:tcW w:w="6095" w:type="dxa"/>
            <w:vAlign w:val="center"/>
          </w:tcPr>
          <w:p w:rsidR="00C46E8E" w:rsidRPr="00E21001" w:rsidRDefault="00E21001" w:rsidP="005F4C5C">
            <w:pPr>
              <w:spacing w:after="0" w:line="240" w:lineRule="auto"/>
              <w:jc w:val="both"/>
              <w:rPr>
                <w:rFonts w:ascii="Times New Roman" w:hAnsi="Times New Roman"/>
                <w:sz w:val="24"/>
                <w:szCs w:val="24"/>
                <w:lang w:val="ru-RU"/>
              </w:rPr>
            </w:pPr>
            <w:r w:rsidRPr="00E21001">
              <w:rPr>
                <w:rFonts w:ascii="Times New Roman" w:hAnsi="Times New Roman"/>
                <w:sz w:val="24"/>
                <w:szCs w:val="24"/>
              </w:rPr>
              <w:t>50410000-2 Послуги з ремонту і технічного обслуговування вимірювальних, випробувальних і контрольних приладів</w:t>
            </w:r>
          </w:p>
        </w:tc>
      </w:tr>
      <w:tr w:rsidR="00C345E8" w:rsidRPr="00C345E8" w:rsidTr="00CD457E">
        <w:trPr>
          <w:trHeight w:val="304"/>
        </w:trPr>
        <w:tc>
          <w:tcPr>
            <w:tcW w:w="709" w:type="dxa"/>
            <w:vAlign w:val="center"/>
          </w:tcPr>
          <w:p w:rsidR="00C345E8" w:rsidRDefault="00066D2F" w:rsidP="00A52A66">
            <w:pPr>
              <w:pStyle w:val="Standard"/>
              <w:jc w:val="center"/>
              <w:rPr>
                <w:lang w:val="uk-UA"/>
              </w:rPr>
            </w:pPr>
            <w:r>
              <w:rPr>
                <w:lang w:val="uk-UA"/>
              </w:rPr>
              <w:t>3</w:t>
            </w:r>
          </w:p>
        </w:tc>
        <w:tc>
          <w:tcPr>
            <w:tcW w:w="3232" w:type="dxa"/>
            <w:vAlign w:val="center"/>
          </w:tcPr>
          <w:p w:rsidR="00C345E8" w:rsidRPr="00624100" w:rsidRDefault="00C345E8" w:rsidP="00A52A66">
            <w:pPr>
              <w:pStyle w:val="Standard"/>
              <w:jc w:val="both"/>
              <w:rPr>
                <w:sz w:val="21"/>
                <w:szCs w:val="21"/>
                <w:lang w:val="uk-UA"/>
              </w:rPr>
            </w:pPr>
            <w:r w:rsidRPr="00624100">
              <w:rPr>
                <w:sz w:val="21"/>
                <w:szCs w:val="21"/>
                <w:lang w:val="uk-UA"/>
              </w:rPr>
              <w:t>Вид процедури закупівлі</w:t>
            </w:r>
          </w:p>
        </w:tc>
        <w:tc>
          <w:tcPr>
            <w:tcW w:w="6095" w:type="dxa"/>
            <w:vAlign w:val="center"/>
          </w:tcPr>
          <w:p w:rsidR="00C345E8" w:rsidRPr="00624100" w:rsidRDefault="00AB6153" w:rsidP="00A52A66">
            <w:pPr>
              <w:pStyle w:val="Standard"/>
              <w:jc w:val="both"/>
              <w:rPr>
                <w:sz w:val="21"/>
                <w:szCs w:val="21"/>
                <w:lang w:val="uk-UA"/>
              </w:rPr>
            </w:pPr>
            <w:r w:rsidRPr="00624100">
              <w:rPr>
                <w:sz w:val="21"/>
                <w:szCs w:val="21"/>
              </w:rPr>
              <w:t>Відкриті торги з особливостями</w:t>
            </w:r>
          </w:p>
        </w:tc>
      </w:tr>
      <w:tr w:rsidR="0044463B" w:rsidTr="00CD457E">
        <w:trPr>
          <w:trHeight w:val="287"/>
        </w:trPr>
        <w:tc>
          <w:tcPr>
            <w:tcW w:w="709" w:type="dxa"/>
            <w:vAlign w:val="center"/>
          </w:tcPr>
          <w:p w:rsidR="0044463B" w:rsidRDefault="00066D2F" w:rsidP="00A52A66">
            <w:pPr>
              <w:pStyle w:val="Standard"/>
              <w:jc w:val="center"/>
              <w:rPr>
                <w:lang w:val="uk-UA"/>
              </w:rPr>
            </w:pPr>
            <w:r>
              <w:rPr>
                <w:lang w:val="uk-UA"/>
              </w:rPr>
              <w:t>4</w:t>
            </w:r>
          </w:p>
        </w:tc>
        <w:tc>
          <w:tcPr>
            <w:tcW w:w="3232" w:type="dxa"/>
            <w:vAlign w:val="center"/>
          </w:tcPr>
          <w:p w:rsidR="0044463B" w:rsidRPr="00624100" w:rsidRDefault="0044463B" w:rsidP="00A52A66">
            <w:pPr>
              <w:pStyle w:val="Standard"/>
              <w:jc w:val="both"/>
              <w:rPr>
                <w:sz w:val="21"/>
                <w:szCs w:val="21"/>
                <w:lang w:val="uk-UA"/>
              </w:rPr>
            </w:pPr>
            <w:r w:rsidRPr="00624100">
              <w:rPr>
                <w:sz w:val="21"/>
                <w:szCs w:val="21"/>
                <w:lang w:val="uk-UA"/>
              </w:rPr>
              <w:t>Ідентифікатор закупівлі</w:t>
            </w:r>
          </w:p>
        </w:tc>
        <w:tc>
          <w:tcPr>
            <w:tcW w:w="6095" w:type="dxa"/>
            <w:vAlign w:val="center"/>
          </w:tcPr>
          <w:p w:rsidR="0044463B" w:rsidRPr="00624100" w:rsidRDefault="00E21001" w:rsidP="00A52A66">
            <w:pPr>
              <w:pStyle w:val="Standard"/>
              <w:jc w:val="both"/>
              <w:rPr>
                <w:b/>
                <w:sz w:val="21"/>
                <w:szCs w:val="21"/>
                <w:lang w:val="ru-RU"/>
              </w:rPr>
            </w:pPr>
            <w:hyperlink r:id="rId9" w:tgtFrame="_blank" w:history="1">
              <w:r>
                <w:rPr>
                  <w:rStyle w:val="a9"/>
                </w:rPr>
                <w:t>UA-2025-07-21-009610-a</w:t>
              </w:r>
            </w:hyperlink>
          </w:p>
        </w:tc>
      </w:tr>
      <w:tr w:rsidR="000D66C6" w:rsidTr="00CD457E">
        <w:trPr>
          <w:trHeight w:val="557"/>
        </w:trPr>
        <w:tc>
          <w:tcPr>
            <w:tcW w:w="709" w:type="dxa"/>
          </w:tcPr>
          <w:p w:rsidR="000D66C6" w:rsidRDefault="000D66C6" w:rsidP="000D66C6">
            <w:pPr>
              <w:pStyle w:val="Standard"/>
              <w:jc w:val="center"/>
              <w:rPr>
                <w:lang w:val="uk-UA"/>
              </w:rPr>
            </w:pPr>
            <w:r>
              <w:rPr>
                <w:lang w:val="uk-UA"/>
              </w:rPr>
              <w:t>5</w:t>
            </w:r>
          </w:p>
        </w:tc>
        <w:tc>
          <w:tcPr>
            <w:tcW w:w="3232" w:type="dxa"/>
          </w:tcPr>
          <w:p w:rsidR="000D66C6" w:rsidRPr="00624100" w:rsidRDefault="000D66C6" w:rsidP="000D66C6">
            <w:pPr>
              <w:pStyle w:val="Standard"/>
              <w:rPr>
                <w:sz w:val="21"/>
                <w:szCs w:val="21"/>
                <w:lang w:val="uk-UA"/>
              </w:rPr>
            </w:pPr>
            <w:r w:rsidRPr="00624100">
              <w:rPr>
                <w:sz w:val="21"/>
                <w:szCs w:val="21"/>
                <w:lang w:val="uk-UA"/>
              </w:rPr>
              <w:t>Обґрунтування технічних та якісних характеристик предмета закупівлі</w:t>
            </w:r>
          </w:p>
        </w:tc>
        <w:tc>
          <w:tcPr>
            <w:tcW w:w="6095" w:type="dxa"/>
            <w:vAlign w:val="center"/>
          </w:tcPr>
          <w:p w:rsidR="00C0204B" w:rsidRDefault="00C0204B" w:rsidP="00C0204B">
            <w:pPr>
              <w:spacing w:after="0" w:line="240" w:lineRule="auto"/>
              <w:jc w:val="both"/>
              <w:rPr>
                <w:rFonts w:ascii="Times New Roman" w:hAnsi="Times New Roman"/>
              </w:rPr>
            </w:pPr>
            <w:r w:rsidRPr="00E21001">
              <w:rPr>
                <w:rFonts w:ascii="Times New Roman" w:hAnsi="Times New Roman"/>
              </w:rPr>
              <w:t xml:space="preserve">Якісні та технічні характеристики предмета закупівлі визначені з урахуванням реальних потреб Замовника та оптимального співвідношення ціни та якості. </w:t>
            </w:r>
          </w:p>
          <w:p w:rsidR="00E21001" w:rsidRPr="00E21001" w:rsidRDefault="00E21001" w:rsidP="00C0204B">
            <w:pPr>
              <w:spacing w:after="0" w:line="240" w:lineRule="auto"/>
              <w:jc w:val="both"/>
              <w:rPr>
                <w:rFonts w:ascii="Times New Roman" w:hAnsi="Times New Roman"/>
              </w:rPr>
            </w:pPr>
            <w:r>
              <w:rPr>
                <w:rFonts w:ascii="Times New Roman" w:hAnsi="Times New Roman"/>
                <w:sz w:val="24"/>
                <w:szCs w:val="24"/>
              </w:rPr>
              <w:t>Послуги повинні надаватися відповідно до</w:t>
            </w:r>
            <w:r w:rsidRPr="002543E1">
              <w:rPr>
                <w:rFonts w:ascii="Times New Roman" w:hAnsi="Times New Roman"/>
                <w:sz w:val="24"/>
                <w:szCs w:val="24"/>
              </w:rPr>
              <w:t xml:space="preserve"> порядку та умовам визначеним інструкцією з експлуатації газових котлів, діючому законодавству України, зокрема Правил</w:t>
            </w:r>
            <w:r>
              <w:rPr>
                <w:rFonts w:ascii="Times New Roman" w:hAnsi="Times New Roman"/>
                <w:sz w:val="24"/>
                <w:szCs w:val="24"/>
              </w:rPr>
              <w:t xml:space="preserve">ами безпечної експлуатації </w:t>
            </w:r>
            <w:r w:rsidRPr="002543E1">
              <w:rPr>
                <w:rFonts w:ascii="Times New Roman" w:hAnsi="Times New Roman"/>
                <w:sz w:val="24"/>
                <w:szCs w:val="24"/>
              </w:rPr>
              <w:t xml:space="preserve"> систем газопостачання, затвердженими наказом Міністерства енергетики та вугільної промисловості України від 15 травня 2015 року №285, Правилами охорони праці під час експлуатації обладнання, що працює під тиском» (затверджені наказом </w:t>
            </w:r>
            <w:proofErr w:type="spellStart"/>
            <w:r w:rsidRPr="002543E1">
              <w:rPr>
                <w:rFonts w:ascii="Times New Roman" w:hAnsi="Times New Roman"/>
                <w:sz w:val="24"/>
                <w:szCs w:val="24"/>
              </w:rPr>
              <w:t>Мінсоцполітики</w:t>
            </w:r>
            <w:proofErr w:type="spellEnd"/>
            <w:r w:rsidRPr="002543E1">
              <w:rPr>
                <w:rFonts w:ascii="Times New Roman" w:hAnsi="Times New Roman"/>
                <w:sz w:val="24"/>
                <w:szCs w:val="24"/>
              </w:rPr>
              <w:t xml:space="preserve"> від 05.03.2018 №333; НПАОП 0.00-1.81-18; далі - Правила), Законом України «Про охорону праці».</w:t>
            </w:r>
          </w:p>
          <w:p w:rsidR="00E21001" w:rsidRDefault="00E21001" w:rsidP="00E21001">
            <w:pPr>
              <w:suppressAutoHyphens/>
              <w:spacing w:after="0" w:line="240" w:lineRule="auto"/>
              <w:jc w:val="both"/>
              <w:rPr>
                <w:rFonts w:ascii="Times New Roman" w:hAnsi="Times New Roman"/>
                <w:iCs/>
              </w:rPr>
            </w:pPr>
            <w:r w:rsidRPr="00E21001">
              <w:rPr>
                <w:rFonts w:ascii="Times New Roman" w:hAnsi="Times New Roman"/>
                <w:b/>
                <w:iCs/>
              </w:rPr>
              <w:t>Коротка характеристика об`єкту</w:t>
            </w:r>
            <w:r w:rsidRPr="00E21001">
              <w:rPr>
                <w:rFonts w:ascii="Times New Roman" w:hAnsi="Times New Roman"/>
                <w:iCs/>
              </w:rPr>
              <w:t xml:space="preserve">:  </w:t>
            </w:r>
          </w:p>
          <w:p w:rsidR="00E21001" w:rsidRPr="00E21001" w:rsidRDefault="00E21001" w:rsidP="00E21001">
            <w:pPr>
              <w:suppressAutoHyphens/>
              <w:spacing w:after="0" w:line="240" w:lineRule="auto"/>
              <w:jc w:val="both"/>
              <w:rPr>
                <w:rFonts w:ascii="Times New Roman" w:hAnsi="Times New Roman"/>
              </w:rPr>
            </w:pPr>
            <w:proofErr w:type="spellStart"/>
            <w:r w:rsidRPr="00E21001">
              <w:rPr>
                <w:rFonts w:ascii="Times New Roman" w:hAnsi="Times New Roman"/>
                <w:iCs/>
              </w:rPr>
              <w:t>Адмінприміщення</w:t>
            </w:r>
            <w:proofErr w:type="spellEnd"/>
            <w:r w:rsidRPr="00E21001">
              <w:rPr>
                <w:rFonts w:ascii="Times New Roman" w:hAnsi="Times New Roman"/>
                <w:iCs/>
              </w:rPr>
              <w:t xml:space="preserve"> Київської митниці мають загальну площу  </w:t>
            </w:r>
            <w:r w:rsidRPr="00E21001">
              <w:rPr>
                <w:rFonts w:ascii="Times New Roman" w:hAnsi="Times New Roman"/>
              </w:rPr>
              <w:t xml:space="preserve"> 21608,7 </w:t>
            </w:r>
            <w:proofErr w:type="spellStart"/>
            <w:r w:rsidRPr="00E21001">
              <w:rPr>
                <w:rFonts w:ascii="Times New Roman" w:hAnsi="Times New Roman"/>
              </w:rPr>
              <w:t>кв.м</w:t>
            </w:r>
            <w:proofErr w:type="spellEnd"/>
            <w:r w:rsidRPr="00E21001">
              <w:rPr>
                <w:rFonts w:ascii="Times New Roman" w:hAnsi="Times New Roman"/>
              </w:rPr>
              <w:t xml:space="preserve">. </w:t>
            </w:r>
          </w:p>
          <w:p w:rsidR="00E21001" w:rsidRPr="00E21001" w:rsidRDefault="00E21001" w:rsidP="00E21001">
            <w:pPr>
              <w:pStyle w:val="Default"/>
              <w:jc w:val="both"/>
              <w:rPr>
                <w:rFonts w:eastAsia="Calibri"/>
                <w:color w:val="auto"/>
                <w:sz w:val="22"/>
                <w:szCs w:val="22"/>
              </w:rPr>
            </w:pPr>
            <w:r w:rsidRPr="00E21001">
              <w:rPr>
                <w:rFonts w:eastAsia="Calibri"/>
                <w:color w:val="auto"/>
                <w:sz w:val="22"/>
                <w:szCs w:val="22"/>
              </w:rPr>
              <w:t>Система опалення адміністративної будівлі складається з дахової газової котельні, ш</w:t>
            </w:r>
            <w:r w:rsidRPr="00E21001">
              <w:rPr>
                <w:rFonts w:eastAsia="Calibri"/>
                <w:sz w:val="22"/>
                <w:szCs w:val="22"/>
              </w:rPr>
              <w:t xml:space="preserve">афового регуляторного пункту (ШРП) та газопроводів середнього і низького тиску . </w:t>
            </w:r>
          </w:p>
          <w:p w:rsidR="00E21001" w:rsidRPr="00E21001" w:rsidRDefault="00E21001" w:rsidP="00E21001">
            <w:pPr>
              <w:pStyle w:val="Default"/>
              <w:jc w:val="both"/>
              <w:rPr>
                <w:rFonts w:eastAsia="Calibri"/>
                <w:sz w:val="22"/>
                <w:szCs w:val="22"/>
              </w:rPr>
            </w:pPr>
            <w:r w:rsidRPr="00E21001">
              <w:rPr>
                <w:rFonts w:eastAsia="Calibri"/>
                <w:color w:val="auto"/>
                <w:sz w:val="22"/>
                <w:szCs w:val="22"/>
              </w:rPr>
              <w:t xml:space="preserve">ШРП – 1965 </w:t>
            </w:r>
            <w:r w:rsidRPr="00E21001">
              <w:rPr>
                <w:rFonts w:eastAsia="Calibri"/>
                <w:sz w:val="22"/>
                <w:szCs w:val="22"/>
              </w:rPr>
              <w:t>розташований  на відкритому  майданчику на території Київської митниці</w:t>
            </w:r>
            <w:r w:rsidRPr="00E21001">
              <w:rPr>
                <w:sz w:val="22"/>
                <w:szCs w:val="22"/>
                <w:lang w:val="ru-RU"/>
              </w:rPr>
              <w:t xml:space="preserve"> </w:t>
            </w:r>
            <w:r w:rsidRPr="00E21001">
              <w:rPr>
                <w:rFonts w:eastAsia="Calibri"/>
                <w:color w:val="auto"/>
                <w:sz w:val="22"/>
                <w:szCs w:val="22"/>
              </w:rPr>
              <w:t>та включає в себе</w:t>
            </w:r>
            <w:r w:rsidRPr="00E21001">
              <w:rPr>
                <w:color w:val="auto"/>
                <w:sz w:val="22"/>
                <w:szCs w:val="22"/>
              </w:rPr>
              <w:t>:</w:t>
            </w:r>
            <w:r w:rsidRPr="00E21001">
              <w:rPr>
                <w:rFonts w:eastAsia="Calibri"/>
                <w:color w:val="auto"/>
                <w:sz w:val="22"/>
                <w:szCs w:val="22"/>
              </w:rPr>
              <w:t xml:space="preserve"> </w:t>
            </w:r>
          </w:p>
          <w:p w:rsidR="00E21001" w:rsidRPr="00E21001" w:rsidRDefault="00E21001" w:rsidP="00E21001">
            <w:pPr>
              <w:numPr>
                <w:ilvl w:val="0"/>
                <w:numId w:val="10"/>
              </w:numPr>
              <w:spacing w:after="0" w:line="240" w:lineRule="auto"/>
              <w:rPr>
                <w:rFonts w:ascii="Times New Roman" w:hAnsi="Times New Roman"/>
                <w:lang w:eastAsia="uk-UA"/>
              </w:rPr>
            </w:pPr>
            <w:r w:rsidRPr="00E21001">
              <w:rPr>
                <w:rFonts w:ascii="Times New Roman" w:hAnsi="Times New Roman"/>
                <w:lang w:eastAsia="uk-UA"/>
              </w:rPr>
              <w:t>Фільтр.</w:t>
            </w:r>
          </w:p>
          <w:p w:rsidR="00E21001" w:rsidRPr="00E21001" w:rsidRDefault="00E21001" w:rsidP="00E21001">
            <w:pPr>
              <w:numPr>
                <w:ilvl w:val="0"/>
                <w:numId w:val="10"/>
              </w:numPr>
              <w:spacing w:after="0" w:line="240" w:lineRule="auto"/>
              <w:rPr>
                <w:rFonts w:ascii="Times New Roman" w:hAnsi="Times New Roman"/>
                <w:lang w:eastAsia="uk-UA"/>
              </w:rPr>
            </w:pPr>
            <w:r w:rsidRPr="00E21001">
              <w:rPr>
                <w:rFonts w:ascii="Times New Roman" w:hAnsi="Times New Roman"/>
                <w:lang w:eastAsia="uk-UA"/>
              </w:rPr>
              <w:t>Запірні пристрої.</w:t>
            </w:r>
          </w:p>
          <w:p w:rsidR="00E21001" w:rsidRPr="00E21001" w:rsidRDefault="00E21001" w:rsidP="00E21001">
            <w:pPr>
              <w:numPr>
                <w:ilvl w:val="0"/>
                <w:numId w:val="10"/>
              </w:numPr>
              <w:spacing w:after="0" w:line="240" w:lineRule="auto"/>
              <w:rPr>
                <w:rFonts w:ascii="Times New Roman" w:hAnsi="Times New Roman"/>
                <w:lang w:eastAsia="uk-UA"/>
              </w:rPr>
            </w:pPr>
            <w:r w:rsidRPr="00E21001">
              <w:rPr>
                <w:rFonts w:ascii="Times New Roman" w:hAnsi="Times New Roman"/>
                <w:lang w:eastAsia="uk-UA"/>
              </w:rPr>
              <w:t xml:space="preserve">Запобіжні клапани </w:t>
            </w:r>
          </w:p>
          <w:p w:rsidR="00E21001" w:rsidRPr="00E21001" w:rsidRDefault="00E21001" w:rsidP="00E21001">
            <w:pPr>
              <w:numPr>
                <w:ilvl w:val="0"/>
                <w:numId w:val="10"/>
              </w:numPr>
              <w:spacing w:after="0" w:line="240" w:lineRule="auto"/>
              <w:rPr>
                <w:rFonts w:ascii="Times New Roman" w:hAnsi="Times New Roman"/>
                <w:lang w:eastAsia="uk-UA"/>
              </w:rPr>
            </w:pPr>
            <w:r w:rsidRPr="00E21001">
              <w:rPr>
                <w:rFonts w:ascii="Times New Roman" w:hAnsi="Times New Roman"/>
                <w:lang w:eastAsia="uk-UA"/>
              </w:rPr>
              <w:t>Регулятор тиску газу.</w:t>
            </w:r>
          </w:p>
          <w:p w:rsidR="00E21001" w:rsidRPr="00E21001" w:rsidRDefault="00E21001" w:rsidP="00E21001">
            <w:pPr>
              <w:numPr>
                <w:ilvl w:val="0"/>
                <w:numId w:val="10"/>
              </w:numPr>
              <w:spacing w:after="0" w:line="240" w:lineRule="auto"/>
              <w:rPr>
                <w:rFonts w:ascii="Times New Roman" w:hAnsi="Times New Roman"/>
                <w:lang w:eastAsia="uk-UA"/>
              </w:rPr>
            </w:pPr>
            <w:r w:rsidRPr="00E21001">
              <w:rPr>
                <w:rFonts w:ascii="Times New Roman" w:hAnsi="Times New Roman"/>
                <w:lang w:eastAsia="uk-UA"/>
              </w:rPr>
              <w:t>Манометри.</w:t>
            </w:r>
          </w:p>
          <w:p w:rsidR="00E21001" w:rsidRPr="00E21001" w:rsidRDefault="00E21001" w:rsidP="00E21001">
            <w:pPr>
              <w:numPr>
                <w:ilvl w:val="0"/>
                <w:numId w:val="10"/>
              </w:numPr>
              <w:spacing w:after="0" w:line="240" w:lineRule="auto"/>
              <w:rPr>
                <w:rFonts w:ascii="Times New Roman" w:hAnsi="Times New Roman"/>
                <w:lang w:eastAsia="uk-UA"/>
              </w:rPr>
            </w:pPr>
            <w:proofErr w:type="spellStart"/>
            <w:r w:rsidRPr="00E21001">
              <w:rPr>
                <w:rFonts w:ascii="Times New Roman" w:hAnsi="Times New Roman"/>
                <w:lang w:eastAsia="uk-UA"/>
              </w:rPr>
              <w:t>Байпас</w:t>
            </w:r>
            <w:proofErr w:type="spellEnd"/>
          </w:p>
          <w:p w:rsidR="00E21001" w:rsidRPr="00E21001" w:rsidRDefault="00E21001" w:rsidP="00E21001">
            <w:pPr>
              <w:numPr>
                <w:ilvl w:val="0"/>
                <w:numId w:val="10"/>
              </w:numPr>
              <w:spacing w:after="0" w:line="240" w:lineRule="auto"/>
              <w:rPr>
                <w:rFonts w:ascii="Times New Roman" w:hAnsi="Times New Roman"/>
                <w:lang w:eastAsia="uk-UA"/>
              </w:rPr>
            </w:pPr>
            <w:r w:rsidRPr="00E21001">
              <w:rPr>
                <w:rFonts w:ascii="Times New Roman" w:hAnsi="Times New Roman"/>
                <w:lang w:eastAsia="uk-UA"/>
              </w:rPr>
              <w:t>Вихідний патрубок з кульовим краном манометром для контролю тиску газу, що надходить .</w:t>
            </w:r>
          </w:p>
          <w:p w:rsidR="00E21001" w:rsidRPr="00E21001" w:rsidRDefault="00E21001" w:rsidP="00E21001">
            <w:pPr>
              <w:suppressAutoHyphens/>
              <w:spacing w:after="0" w:line="240" w:lineRule="auto"/>
              <w:jc w:val="both"/>
              <w:rPr>
                <w:rFonts w:ascii="Times New Roman" w:eastAsia="TimesNewRomanPSMT" w:hAnsi="Times New Roman"/>
                <w:lang w:eastAsia="uk-UA"/>
              </w:rPr>
            </w:pPr>
            <w:r>
              <w:rPr>
                <w:rFonts w:ascii="Times New Roman" w:hAnsi="Times New Roman"/>
                <w:b/>
              </w:rPr>
              <w:t>Технічні вимоги:</w:t>
            </w:r>
            <w:r w:rsidRPr="00E21001">
              <w:rPr>
                <w:rFonts w:ascii="Times New Roman" w:hAnsi="Times New Roman"/>
                <w:b/>
              </w:rPr>
              <w:t xml:space="preserve"> </w:t>
            </w:r>
          </w:p>
          <w:p w:rsidR="00E21001" w:rsidRPr="00E21001" w:rsidRDefault="00E21001" w:rsidP="00E21001">
            <w:pPr>
              <w:pStyle w:val="a4"/>
              <w:spacing w:before="0" w:beforeAutospacing="0" w:after="0" w:afterAutospacing="0"/>
              <w:jc w:val="both"/>
              <w:rPr>
                <w:sz w:val="22"/>
                <w:szCs w:val="22"/>
              </w:rPr>
            </w:pPr>
            <w:r w:rsidRPr="00E21001">
              <w:rPr>
                <w:sz w:val="22"/>
                <w:szCs w:val="22"/>
              </w:rPr>
              <w:t>Виконавець  зобов’язується виконати  поточний   ремонт  ШРП – 1965 з ремонтом   регуляторів тиску РДГ - 50 Н  відповідно  до Правил безпечної експлуатації системи газопостачання (ПБСГ),  вимог чинного законодавства, ДБН, ДСТУ, НПАОП та інших нормативних документів у сфері експлуатації систем газопостачання.</w:t>
            </w:r>
            <w:r w:rsidRPr="00E21001">
              <w:rPr>
                <w:sz w:val="22"/>
                <w:szCs w:val="22"/>
              </w:rPr>
              <w:br/>
              <w:t>Усі роботи мають бути погоджені з АТ «</w:t>
            </w:r>
            <w:proofErr w:type="spellStart"/>
            <w:r w:rsidRPr="00E21001">
              <w:rPr>
                <w:sz w:val="22"/>
                <w:szCs w:val="22"/>
              </w:rPr>
              <w:t>Київгаз</w:t>
            </w:r>
            <w:proofErr w:type="spellEnd"/>
            <w:r w:rsidRPr="00E21001">
              <w:rPr>
                <w:sz w:val="22"/>
                <w:szCs w:val="22"/>
              </w:rPr>
              <w:t xml:space="preserve">» — до початку виконання,  По завершенню ремонтних робіт ШРП - 1965 має </w:t>
            </w:r>
            <w:proofErr w:type="spellStart"/>
            <w:r w:rsidRPr="00E21001">
              <w:rPr>
                <w:sz w:val="22"/>
                <w:szCs w:val="22"/>
              </w:rPr>
              <w:t>вілповілати</w:t>
            </w:r>
            <w:proofErr w:type="spellEnd"/>
            <w:r w:rsidRPr="00E21001">
              <w:rPr>
                <w:sz w:val="22"/>
                <w:szCs w:val="22"/>
              </w:rPr>
              <w:t xml:space="preserve"> вимогам ПБСГ.</w:t>
            </w:r>
          </w:p>
          <w:p w:rsidR="00E21001" w:rsidRPr="00212D95" w:rsidRDefault="00E21001" w:rsidP="00E21001">
            <w:pPr>
              <w:pStyle w:val="2"/>
              <w:spacing w:before="0" w:beforeAutospacing="0" w:after="0" w:afterAutospacing="0"/>
              <w:rPr>
                <w:b w:val="0"/>
                <w:sz w:val="24"/>
                <w:szCs w:val="24"/>
              </w:rPr>
            </w:pPr>
            <w:r w:rsidRPr="00212D95">
              <w:rPr>
                <w:b w:val="0"/>
                <w:sz w:val="24"/>
                <w:szCs w:val="24"/>
              </w:rPr>
              <w:lastRenderedPageBreak/>
              <w:t>Додаткові вимоги</w:t>
            </w:r>
            <w:r>
              <w:rPr>
                <w:b w:val="0"/>
                <w:sz w:val="24"/>
                <w:szCs w:val="24"/>
              </w:rPr>
              <w:t>:</w:t>
            </w:r>
          </w:p>
          <w:p w:rsidR="00E21001" w:rsidRPr="00E21001" w:rsidRDefault="00E21001" w:rsidP="00E21001">
            <w:pPr>
              <w:pStyle w:val="a4"/>
              <w:spacing w:before="0" w:beforeAutospacing="0" w:after="0" w:afterAutospacing="0"/>
              <w:jc w:val="both"/>
            </w:pPr>
            <w:r w:rsidRPr="00212D95">
              <w:t>- Усі матеріали, комплектуючі та обладнання мають бути сертифікованими в Україні, мати паспорти та сертифікати відповідності;</w:t>
            </w:r>
            <w:r w:rsidRPr="00212D95">
              <w:br/>
              <w:t>- Роботи мають виконуватись кваліфікованим персоналом, який має допуски до робіт з об’єктами газового господа</w:t>
            </w:r>
            <w:r>
              <w:t>рства;</w:t>
            </w:r>
            <w:r>
              <w:br/>
              <w:t>- Після виконання робіт В</w:t>
            </w:r>
            <w:r w:rsidRPr="00212D95">
              <w:t>иконавець зобов’язаний надати акт виконаних робіт, протоколи випробувань, звіт з технічного обстеження та документи про узгодження з АТ «</w:t>
            </w:r>
            <w:proofErr w:type="spellStart"/>
            <w:r w:rsidRPr="00212D95">
              <w:t>Київгаз</w:t>
            </w:r>
            <w:proofErr w:type="spellEnd"/>
            <w:r w:rsidRPr="00212D95">
              <w:t>».</w:t>
            </w:r>
          </w:p>
          <w:p w:rsidR="0052423C" w:rsidRPr="00E21001" w:rsidRDefault="00873F6B" w:rsidP="00C0204B">
            <w:pPr>
              <w:spacing w:after="0" w:line="240" w:lineRule="auto"/>
              <w:jc w:val="both"/>
              <w:rPr>
                <w:lang w:val="ru-RU"/>
              </w:rPr>
            </w:pPr>
            <w:r w:rsidRPr="00E21001">
              <w:rPr>
                <w:rFonts w:ascii="Times New Roman" w:hAnsi="Times New Roman"/>
              </w:rPr>
              <w:t>Інші технічні, якісні характеристики предмету</w:t>
            </w:r>
            <w:r w:rsidR="00CD457E" w:rsidRPr="00E21001">
              <w:rPr>
                <w:rFonts w:ascii="Times New Roman" w:hAnsi="Times New Roman"/>
              </w:rPr>
              <w:t xml:space="preserve"> закупівлі зазначені в Додатку 5</w:t>
            </w:r>
            <w:r w:rsidRPr="00E21001">
              <w:rPr>
                <w:rFonts w:ascii="Times New Roman" w:hAnsi="Times New Roman"/>
              </w:rPr>
              <w:t xml:space="preserve"> до Ого</w:t>
            </w:r>
            <w:r w:rsidR="007F4441" w:rsidRPr="00E21001">
              <w:rPr>
                <w:rFonts w:ascii="Times New Roman" w:hAnsi="Times New Roman"/>
              </w:rPr>
              <w:t>лошення про проведення відкритих торгів з особливостями</w:t>
            </w:r>
            <w:r w:rsidRPr="00E21001">
              <w:rPr>
                <w:rFonts w:ascii="Times New Roman" w:hAnsi="Times New Roman"/>
              </w:rPr>
              <w:t>.</w:t>
            </w:r>
            <w:bookmarkStart w:id="0" w:name="_GoBack"/>
            <w:bookmarkEnd w:id="0"/>
          </w:p>
        </w:tc>
      </w:tr>
      <w:tr w:rsidR="00CF196E" w:rsidTr="00CD457E">
        <w:trPr>
          <w:trHeight w:val="711"/>
        </w:trPr>
        <w:tc>
          <w:tcPr>
            <w:tcW w:w="709" w:type="dxa"/>
            <w:vAlign w:val="center"/>
          </w:tcPr>
          <w:p w:rsidR="00CF196E" w:rsidRDefault="00066D2F" w:rsidP="00A52A66">
            <w:pPr>
              <w:pStyle w:val="Standard"/>
              <w:jc w:val="center"/>
              <w:rPr>
                <w:lang w:val="uk-UA"/>
              </w:rPr>
            </w:pPr>
            <w:r>
              <w:rPr>
                <w:lang w:val="uk-UA"/>
              </w:rPr>
              <w:lastRenderedPageBreak/>
              <w:t>6</w:t>
            </w:r>
          </w:p>
        </w:tc>
        <w:tc>
          <w:tcPr>
            <w:tcW w:w="3232" w:type="dxa"/>
            <w:vAlign w:val="center"/>
          </w:tcPr>
          <w:p w:rsidR="00CF196E" w:rsidRPr="00624100" w:rsidRDefault="00CF196E" w:rsidP="00A52A66">
            <w:pPr>
              <w:pStyle w:val="Standard"/>
              <w:rPr>
                <w:sz w:val="21"/>
                <w:szCs w:val="21"/>
                <w:lang w:val="uk-UA"/>
              </w:rPr>
            </w:pPr>
            <w:r w:rsidRPr="00624100">
              <w:rPr>
                <w:sz w:val="21"/>
                <w:szCs w:val="21"/>
                <w:lang w:val="uk-UA"/>
              </w:rPr>
              <w:t>Очікувана вартість предмета закупівлі</w:t>
            </w:r>
          </w:p>
        </w:tc>
        <w:tc>
          <w:tcPr>
            <w:tcW w:w="6095" w:type="dxa"/>
            <w:vAlign w:val="center"/>
          </w:tcPr>
          <w:p w:rsidR="00CF196E" w:rsidRPr="00E21001" w:rsidRDefault="00E21001" w:rsidP="00E21001">
            <w:pPr>
              <w:pStyle w:val="Standard"/>
              <w:jc w:val="both"/>
              <w:rPr>
                <w:bCs/>
                <w:sz w:val="22"/>
                <w:szCs w:val="22"/>
                <w:lang w:val="uk-UA"/>
              </w:rPr>
            </w:pPr>
            <w:r>
              <w:rPr>
                <w:bCs/>
                <w:sz w:val="22"/>
                <w:szCs w:val="22"/>
                <w:lang w:val="ru-RU"/>
              </w:rPr>
              <w:t>198 116,38</w:t>
            </w:r>
            <w:r w:rsidR="00FD52E2" w:rsidRPr="00E21001">
              <w:rPr>
                <w:bCs/>
                <w:sz w:val="22"/>
                <w:szCs w:val="22"/>
                <w:lang w:val="uk-UA"/>
              </w:rPr>
              <w:t xml:space="preserve"> </w:t>
            </w:r>
            <w:r w:rsidR="006D6A52" w:rsidRPr="00E21001">
              <w:rPr>
                <w:bCs/>
                <w:sz w:val="22"/>
                <w:szCs w:val="22"/>
                <w:lang w:val="uk-UA"/>
              </w:rPr>
              <w:t>грн.</w:t>
            </w:r>
            <w:r w:rsidR="00861EF6" w:rsidRPr="00E21001">
              <w:rPr>
                <w:bCs/>
                <w:sz w:val="22"/>
                <w:szCs w:val="22"/>
                <w:lang w:val="uk-UA"/>
              </w:rPr>
              <w:t xml:space="preserve"> </w:t>
            </w:r>
            <w:r w:rsidR="00374D22" w:rsidRPr="00E21001">
              <w:rPr>
                <w:bCs/>
                <w:sz w:val="22"/>
                <w:szCs w:val="22"/>
                <w:lang w:val="uk-UA"/>
              </w:rPr>
              <w:t>(</w:t>
            </w:r>
            <w:r>
              <w:rPr>
                <w:bCs/>
                <w:sz w:val="22"/>
                <w:szCs w:val="22"/>
                <w:lang w:val="ru-RU"/>
              </w:rPr>
              <w:t xml:space="preserve">сто </w:t>
            </w:r>
            <w:proofErr w:type="spellStart"/>
            <w:proofErr w:type="gramStart"/>
            <w:r>
              <w:rPr>
                <w:bCs/>
                <w:sz w:val="22"/>
                <w:szCs w:val="22"/>
                <w:lang w:val="ru-RU"/>
              </w:rPr>
              <w:t>дев'яносто</w:t>
            </w:r>
            <w:proofErr w:type="spellEnd"/>
            <w:proofErr w:type="gramEnd"/>
            <w:r>
              <w:rPr>
                <w:bCs/>
                <w:sz w:val="22"/>
                <w:szCs w:val="22"/>
                <w:lang w:val="ru-RU"/>
              </w:rPr>
              <w:t xml:space="preserve"> </w:t>
            </w:r>
            <w:proofErr w:type="spellStart"/>
            <w:r>
              <w:rPr>
                <w:bCs/>
                <w:sz w:val="22"/>
                <w:szCs w:val="22"/>
                <w:lang w:val="ru-RU"/>
              </w:rPr>
              <w:t>вісім</w:t>
            </w:r>
            <w:proofErr w:type="spellEnd"/>
            <w:r w:rsidR="00CD457E" w:rsidRPr="00E21001">
              <w:rPr>
                <w:bCs/>
                <w:sz w:val="22"/>
                <w:szCs w:val="22"/>
                <w:lang w:val="uk-UA"/>
              </w:rPr>
              <w:t xml:space="preserve"> тисяч </w:t>
            </w:r>
            <w:r>
              <w:rPr>
                <w:bCs/>
                <w:sz w:val="22"/>
                <w:szCs w:val="22"/>
                <w:lang w:val="uk-UA"/>
              </w:rPr>
              <w:t>сто шістнадцять грн. 38</w:t>
            </w:r>
            <w:r w:rsidR="00A06C66" w:rsidRPr="00E21001">
              <w:rPr>
                <w:bCs/>
                <w:sz w:val="22"/>
                <w:szCs w:val="22"/>
                <w:lang w:val="uk-UA"/>
              </w:rPr>
              <w:t xml:space="preserve"> коп.) </w:t>
            </w:r>
            <w:r w:rsidR="00861EF6" w:rsidRPr="00E21001">
              <w:rPr>
                <w:bCs/>
                <w:sz w:val="22"/>
                <w:szCs w:val="22"/>
                <w:lang w:val="uk-UA"/>
              </w:rPr>
              <w:t>з ПДВ</w:t>
            </w:r>
          </w:p>
        </w:tc>
      </w:tr>
      <w:tr w:rsidR="0044463B" w:rsidTr="00CD457E">
        <w:trPr>
          <w:trHeight w:val="286"/>
        </w:trPr>
        <w:tc>
          <w:tcPr>
            <w:tcW w:w="709" w:type="dxa"/>
          </w:tcPr>
          <w:p w:rsidR="0044463B" w:rsidRDefault="00066D2F" w:rsidP="00A52A66">
            <w:pPr>
              <w:pStyle w:val="Standard"/>
              <w:jc w:val="center"/>
              <w:rPr>
                <w:lang w:val="uk-UA"/>
              </w:rPr>
            </w:pPr>
            <w:r>
              <w:rPr>
                <w:lang w:val="uk-UA"/>
              </w:rPr>
              <w:t>7</w:t>
            </w:r>
          </w:p>
        </w:tc>
        <w:tc>
          <w:tcPr>
            <w:tcW w:w="3232" w:type="dxa"/>
          </w:tcPr>
          <w:p w:rsidR="0044463B" w:rsidRPr="00624100" w:rsidRDefault="0044463B" w:rsidP="00A52A66">
            <w:pPr>
              <w:pStyle w:val="Standard"/>
              <w:rPr>
                <w:sz w:val="21"/>
                <w:szCs w:val="21"/>
                <w:lang w:val="uk-UA"/>
              </w:rPr>
            </w:pPr>
            <w:r w:rsidRPr="00624100">
              <w:rPr>
                <w:sz w:val="21"/>
                <w:szCs w:val="21"/>
                <w:lang w:val="uk-UA"/>
              </w:rPr>
              <w:t>Обґрунтування очікуваної вартості предмета закупівлі, розміру бюджетного призначення</w:t>
            </w:r>
          </w:p>
        </w:tc>
        <w:tc>
          <w:tcPr>
            <w:tcW w:w="6095" w:type="dxa"/>
            <w:vAlign w:val="center"/>
          </w:tcPr>
          <w:p w:rsidR="000A6CA8" w:rsidRPr="00E21001" w:rsidRDefault="000A6CA8" w:rsidP="000A6CA8">
            <w:pPr>
              <w:pStyle w:val="Standard"/>
              <w:jc w:val="both"/>
              <w:rPr>
                <w:bCs/>
                <w:sz w:val="22"/>
                <w:szCs w:val="22"/>
                <w:lang w:val="uk-UA"/>
              </w:rPr>
            </w:pPr>
            <w:proofErr w:type="spellStart"/>
            <w:r w:rsidRPr="00E21001">
              <w:rPr>
                <w:sz w:val="22"/>
                <w:szCs w:val="22"/>
              </w:rPr>
              <w:t>За</w:t>
            </w:r>
            <w:proofErr w:type="spellEnd"/>
            <w:r w:rsidRPr="00E21001">
              <w:rPr>
                <w:sz w:val="22"/>
                <w:szCs w:val="22"/>
              </w:rPr>
              <w:t xml:space="preserve"> </w:t>
            </w:r>
            <w:proofErr w:type="spellStart"/>
            <w:r w:rsidRPr="00E21001">
              <w:rPr>
                <w:sz w:val="22"/>
                <w:szCs w:val="22"/>
              </w:rPr>
              <w:t>умови</w:t>
            </w:r>
            <w:proofErr w:type="spellEnd"/>
            <w:r w:rsidRPr="00E21001">
              <w:rPr>
                <w:sz w:val="22"/>
                <w:szCs w:val="22"/>
              </w:rPr>
              <w:t xml:space="preserve"> </w:t>
            </w:r>
            <w:proofErr w:type="spellStart"/>
            <w:r w:rsidRPr="00E21001">
              <w:rPr>
                <w:sz w:val="22"/>
                <w:szCs w:val="22"/>
              </w:rPr>
              <w:t>подання</w:t>
            </w:r>
            <w:proofErr w:type="spellEnd"/>
            <w:r w:rsidRPr="00E21001">
              <w:rPr>
                <w:sz w:val="22"/>
                <w:szCs w:val="22"/>
              </w:rPr>
              <w:t xml:space="preserve"> </w:t>
            </w:r>
            <w:proofErr w:type="spellStart"/>
            <w:r w:rsidRPr="00E21001">
              <w:rPr>
                <w:sz w:val="22"/>
                <w:szCs w:val="22"/>
              </w:rPr>
              <w:t>заявки</w:t>
            </w:r>
            <w:proofErr w:type="spellEnd"/>
            <w:r w:rsidRPr="00E21001">
              <w:rPr>
                <w:sz w:val="22"/>
                <w:szCs w:val="22"/>
              </w:rPr>
              <w:t xml:space="preserve"> </w:t>
            </w:r>
            <w:proofErr w:type="spellStart"/>
            <w:r w:rsidRPr="00E21001">
              <w:rPr>
                <w:sz w:val="22"/>
                <w:szCs w:val="22"/>
              </w:rPr>
              <w:t>на</w:t>
            </w:r>
            <w:proofErr w:type="spellEnd"/>
            <w:r w:rsidRPr="00E21001">
              <w:rPr>
                <w:sz w:val="22"/>
                <w:szCs w:val="22"/>
              </w:rPr>
              <w:t xml:space="preserve"> </w:t>
            </w:r>
            <w:proofErr w:type="spellStart"/>
            <w:r w:rsidRPr="00E21001">
              <w:rPr>
                <w:sz w:val="22"/>
                <w:szCs w:val="22"/>
              </w:rPr>
              <w:t>проведення</w:t>
            </w:r>
            <w:proofErr w:type="spellEnd"/>
            <w:r w:rsidRPr="00E21001">
              <w:rPr>
                <w:sz w:val="22"/>
                <w:szCs w:val="22"/>
              </w:rPr>
              <w:t xml:space="preserve"> </w:t>
            </w:r>
            <w:proofErr w:type="spellStart"/>
            <w:r w:rsidRPr="00E21001">
              <w:rPr>
                <w:sz w:val="22"/>
                <w:szCs w:val="22"/>
              </w:rPr>
              <w:t>закупівлі</w:t>
            </w:r>
            <w:proofErr w:type="spellEnd"/>
            <w:r w:rsidRPr="00E21001">
              <w:rPr>
                <w:sz w:val="22"/>
                <w:szCs w:val="22"/>
              </w:rPr>
              <w:t xml:space="preserve"> </w:t>
            </w:r>
            <w:proofErr w:type="spellStart"/>
            <w:r w:rsidRPr="00E21001">
              <w:rPr>
                <w:sz w:val="22"/>
                <w:szCs w:val="22"/>
              </w:rPr>
              <w:t>відповідно</w:t>
            </w:r>
            <w:proofErr w:type="spellEnd"/>
            <w:r w:rsidRPr="00E21001">
              <w:rPr>
                <w:sz w:val="22"/>
                <w:szCs w:val="22"/>
              </w:rPr>
              <w:t xml:space="preserve"> </w:t>
            </w:r>
            <w:proofErr w:type="spellStart"/>
            <w:r w:rsidRPr="00E21001">
              <w:rPr>
                <w:sz w:val="22"/>
                <w:szCs w:val="22"/>
              </w:rPr>
              <w:t>до</w:t>
            </w:r>
            <w:proofErr w:type="spellEnd"/>
            <w:r w:rsidRPr="00E21001">
              <w:rPr>
                <w:sz w:val="22"/>
                <w:szCs w:val="22"/>
              </w:rPr>
              <w:t xml:space="preserve"> </w:t>
            </w:r>
            <w:proofErr w:type="spellStart"/>
            <w:r w:rsidRPr="00E21001">
              <w:rPr>
                <w:sz w:val="22"/>
                <w:szCs w:val="22"/>
              </w:rPr>
              <w:t>пропозицій</w:t>
            </w:r>
            <w:proofErr w:type="spellEnd"/>
            <w:r w:rsidRPr="00E21001">
              <w:rPr>
                <w:sz w:val="22"/>
                <w:szCs w:val="22"/>
              </w:rPr>
              <w:t xml:space="preserve">, </w:t>
            </w:r>
            <w:proofErr w:type="spellStart"/>
            <w:r w:rsidRPr="00E21001">
              <w:rPr>
                <w:sz w:val="22"/>
                <w:szCs w:val="22"/>
              </w:rPr>
              <w:t>які</w:t>
            </w:r>
            <w:proofErr w:type="spellEnd"/>
            <w:r w:rsidRPr="00E21001">
              <w:rPr>
                <w:sz w:val="22"/>
                <w:szCs w:val="22"/>
              </w:rPr>
              <w:t xml:space="preserve"> </w:t>
            </w:r>
            <w:proofErr w:type="spellStart"/>
            <w:r w:rsidRPr="00E21001">
              <w:rPr>
                <w:sz w:val="22"/>
                <w:szCs w:val="22"/>
              </w:rPr>
              <w:t>були</w:t>
            </w:r>
            <w:proofErr w:type="spellEnd"/>
            <w:r w:rsidRPr="00E21001">
              <w:rPr>
                <w:sz w:val="22"/>
                <w:szCs w:val="22"/>
              </w:rPr>
              <w:t xml:space="preserve"> </w:t>
            </w:r>
            <w:proofErr w:type="spellStart"/>
            <w:r w:rsidRPr="00E21001">
              <w:rPr>
                <w:sz w:val="22"/>
                <w:szCs w:val="22"/>
              </w:rPr>
              <w:t>надані</w:t>
            </w:r>
            <w:proofErr w:type="spellEnd"/>
            <w:r w:rsidRPr="00E21001">
              <w:rPr>
                <w:sz w:val="22"/>
                <w:szCs w:val="22"/>
              </w:rPr>
              <w:t xml:space="preserve"> </w:t>
            </w:r>
            <w:proofErr w:type="spellStart"/>
            <w:r w:rsidRPr="00E21001">
              <w:rPr>
                <w:sz w:val="22"/>
                <w:szCs w:val="22"/>
              </w:rPr>
              <w:t>та</w:t>
            </w:r>
            <w:proofErr w:type="spellEnd"/>
            <w:r w:rsidRPr="00E21001">
              <w:rPr>
                <w:sz w:val="22"/>
                <w:szCs w:val="22"/>
              </w:rPr>
              <w:t xml:space="preserve"> </w:t>
            </w:r>
            <w:proofErr w:type="spellStart"/>
            <w:r w:rsidRPr="00E21001">
              <w:rPr>
                <w:sz w:val="22"/>
                <w:szCs w:val="22"/>
              </w:rPr>
              <w:t>враховані</w:t>
            </w:r>
            <w:proofErr w:type="spellEnd"/>
            <w:r w:rsidRPr="00E21001">
              <w:rPr>
                <w:sz w:val="22"/>
                <w:szCs w:val="22"/>
              </w:rPr>
              <w:t xml:space="preserve"> </w:t>
            </w:r>
            <w:proofErr w:type="spellStart"/>
            <w:r w:rsidRPr="00E21001">
              <w:rPr>
                <w:sz w:val="22"/>
                <w:szCs w:val="22"/>
              </w:rPr>
              <w:t>під</w:t>
            </w:r>
            <w:proofErr w:type="spellEnd"/>
            <w:r w:rsidRPr="00E21001">
              <w:rPr>
                <w:sz w:val="22"/>
                <w:szCs w:val="22"/>
              </w:rPr>
              <w:t xml:space="preserve"> </w:t>
            </w:r>
            <w:proofErr w:type="spellStart"/>
            <w:r w:rsidRPr="00E21001">
              <w:rPr>
                <w:sz w:val="22"/>
                <w:szCs w:val="22"/>
              </w:rPr>
              <w:t>час</w:t>
            </w:r>
            <w:proofErr w:type="spellEnd"/>
            <w:r w:rsidRPr="00E21001">
              <w:rPr>
                <w:sz w:val="22"/>
                <w:szCs w:val="22"/>
              </w:rPr>
              <w:t xml:space="preserve"> </w:t>
            </w:r>
            <w:proofErr w:type="spellStart"/>
            <w:r w:rsidRPr="00E21001">
              <w:rPr>
                <w:sz w:val="22"/>
                <w:szCs w:val="22"/>
              </w:rPr>
              <w:t>формування</w:t>
            </w:r>
            <w:proofErr w:type="spellEnd"/>
            <w:r w:rsidRPr="00E21001">
              <w:rPr>
                <w:sz w:val="22"/>
                <w:szCs w:val="22"/>
              </w:rPr>
              <w:t xml:space="preserve"> </w:t>
            </w:r>
            <w:proofErr w:type="spellStart"/>
            <w:r w:rsidRPr="00E21001">
              <w:rPr>
                <w:sz w:val="22"/>
                <w:szCs w:val="22"/>
              </w:rPr>
              <w:t>бюджетного</w:t>
            </w:r>
            <w:proofErr w:type="spellEnd"/>
            <w:r w:rsidRPr="00E21001">
              <w:rPr>
                <w:sz w:val="22"/>
                <w:szCs w:val="22"/>
              </w:rPr>
              <w:t xml:space="preserve"> </w:t>
            </w:r>
            <w:proofErr w:type="spellStart"/>
            <w:r w:rsidRPr="00E21001">
              <w:rPr>
                <w:sz w:val="22"/>
                <w:szCs w:val="22"/>
              </w:rPr>
              <w:t>запиту</w:t>
            </w:r>
            <w:proofErr w:type="spellEnd"/>
            <w:r w:rsidRPr="00E21001">
              <w:rPr>
                <w:sz w:val="22"/>
                <w:szCs w:val="22"/>
              </w:rPr>
              <w:t xml:space="preserve"> </w:t>
            </w:r>
            <w:proofErr w:type="spellStart"/>
            <w:r w:rsidRPr="00E21001">
              <w:rPr>
                <w:sz w:val="22"/>
                <w:szCs w:val="22"/>
              </w:rPr>
              <w:t>на</w:t>
            </w:r>
            <w:proofErr w:type="spellEnd"/>
            <w:r w:rsidRPr="00E21001">
              <w:rPr>
                <w:sz w:val="22"/>
                <w:szCs w:val="22"/>
              </w:rPr>
              <w:t xml:space="preserve"> </w:t>
            </w:r>
            <w:proofErr w:type="spellStart"/>
            <w:r w:rsidRPr="00E21001">
              <w:rPr>
                <w:sz w:val="22"/>
                <w:szCs w:val="22"/>
              </w:rPr>
              <w:t>відповідний</w:t>
            </w:r>
            <w:proofErr w:type="spellEnd"/>
            <w:r w:rsidRPr="00E21001">
              <w:rPr>
                <w:sz w:val="22"/>
                <w:szCs w:val="22"/>
              </w:rPr>
              <w:t xml:space="preserve"> </w:t>
            </w:r>
            <w:proofErr w:type="spellStart"/>
            <w:r w:rsidRPr="00E21001">
              <w:rPr>
                <w:sz w:val="22"/>
                <w:szCs w:val="22"/>
              </w:rPr>
              <w:t>рік</w:t>
            </w:r>
            <w:proofErr w:type="spellEnd"/>
            <w:r w:rsidRPr="00E21001">
              <w:rPr>
                <w:sz w:val="22"/>
                <w:szCs w:val="22"/>
              </w:rPr>
              <w:t>.</w:t>
            </w:r>
          </w:p>
          <w:p w:rsidR="000A6CA8" w:rsidRPr="00E21001" w:rsidRDefault="000A6CA8" w:rsidP="00624100">
            <w:pPr>
              <w:spacing w:after="0" w:line="240" w:lineRule="auto"/>
              <w:jc w:val="both"/>
              <w:rPr>
                <w:rFonts w:ascii="Times New Roman" w:hAnsi="Times New Roman"/>
              </w:rPr>
            </w:pPr>
            <w:r w:rsidRPr="00E21001">
              <w:rPr>
                <w:rFonts w:ascii="Times New Roman" w:hAnsi="Times New Roman"/>
              </w:rPr>
              <w:t>Визначення очікуваної вартості предмета закупівлі обумовлено статистичним аналізом</w:t>
            </w:r>
            <w:r w:rsidRPr="00E21001">
              <w:t xml:space="preserve"> </w:t>
            </w:r>
            <w:r w:rsidRPr="00E21001">
              <w:rPr>
                <w:rFonts w:ascii="Times New Roman" w:hAnsi="Times New Roman"/>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w:t>
            </w:r>
            <w:r w:rsidR="00624100" w:rsidRPr="00E21001">
              <w:rPr>
                <w:rFonts w:ascii="Times New Roman" w:hAnsi="Times New Roman"/>
              </w:rPr>
              <w:t xml:space="preserve">нами та попередніми договорами </w:t>
            </w:r>
            <w:r w:rsidRPr="00E21001">
              <w:rPr>
                <w:rFonts w:ascii="Times New Roman" w:hAnsi="Times New Roman"/>
              </w:rPr>
              <w:t>в межах наявних кошторисних призначень.</w:t>
            </w:r>
          </w:p>
          <w:p w:rsidR="003A37B4" w:rsidRPr="00E21001" w:rsidRDefault="000A6CA8" w:rsidP="000A6CA8">
            <w:pPr>
              <w:spacing w:after="0" w:line="240" w:lineRule="atLeast"/>
              <w:jc w:val="both"/>
              <w:rPr>
                <w:rFonts w:ascii="Times New Roman" w:eastAsia="Andale Sans UI" w:hAnsi="Times New Roman" w:cs="Tahoma"/>
                <w:kern w:val="3"/>
                <w:lang w:eastAsia="ja-JP" w:bidi="fa-IR"/>
              </w:rPr>
            </w:pPr>
            <w:r w:rsidRPr="00E21001">
              <w:rPr>
                <w:rFonts w:ascii="Times New Roman" w:hAnsi="Times New Roman"/>
                <w:bCs/>
              </w:rPr>
              <w:t>Розмір бюджетного призначення для предмета закупівлі відповідає розрахунку видатків до кошторису на 2025 рік Київської митниці за КЕКВ 2240.</w:t>
            </w:r>
          </w:p>
        </w:tc>
      </w:tr>
    </w:tbl>
    <w:p w:rsidR="000F6610" w:rsidRDefault="000F6610" w:rsidP="008559CE">
      <w:pPr>
        <w:pStyle w:val="Default"/>
        <w:jc w:val="both"/>
        <w:rPr>
          <w:sz w:val="16"/>
          <w:szCs w:val="16"/>
        </w:rPr>
      </w:pPr>
    </w:p>
    <w:p w:rsidR="00DC23DE" w:rsidRPr="00CD457E" w:rsidRDefault="00DC23DE" w:rsidP="008559CE">
      <w:pPr>
        <w:pStyle w:val="Default"/>
        <w:jc w:val="both"/>
        <w:rPr>
          <w:sz w:val="16"/>
          <w:szCs w:val="16"/>
        </w:rPr>
      </w:pPr>
    </w:p>
    <w:p w:rsidR="008559CE" w:rsidRDefault="008559CE" w:rsidP="008559CE">
      <w:pPr>
        <w:pStyle w:val="Default"/>
        <w:jc w:val="both"/>
      </w:pPr>
      <w:r>
        <w:t>Уповноважена особа</w:t>
      </w:r>
      <w:r>
        <w:tab/>
      </w:r>
      <w:r>
        <w:tab/>
      </w:r>
      <w:r>
        <w:tab/>
      </w:r>
      <w:r>
        <w:tab/>
      </w:r>
      <w:r>
        <w:tab/>
      </w:r>
      <w:r>
        <w:tab/>
      </w:r>
      <w:r>
        <w:tab/>
        <w:t>Юлія СТОРОЖИК</w:t>
      </w:r>
    </w:p>
    <w:p w:rsidR="000F6610" w:rsidRDefault="000F6610" w:rsidP="008559CE">
      <w:pPr>
        <w:pStyle w:val="Default"/>
        <w:jc w:val="both"/>
        <w:rPr>
          <w:sz w:val="16"/>
          <w:szCs w:val="16"/>
        </w:rPr>
      </w:pPr>
    </w:p>
    <w:p w:rsidR="00624100" w:rsidRPr="00CD457E" w:rsidRDefault="00624100" w:rsidP="008559CE">
      <w:pPr>
        <w:pStyle w:val="Default"/>
        <w:jc w:val="both"/>
        <w:rPr>
          <w:sz w:val="16"/>
          <w:szCs w:val="16"/>
        </w:rPr>
      </w:pPr>
    </w:p>
    <w:p w:rsidR="008559CE" w:rsidRDefault="008559CE" w:rsidP="008559CE">
      <w:pPr>
        <w:pStyle w:val="Default"/>
        <w:jc w:val="both"/>
      </w:pPr>
      <w:r>
        <w:t>Начальник господарсько-експлуатаційного</w:t>
      </w:r>
    </w:p>
    <w:p w:rsidR="008559CE" w:rsidRDefault="008559CE" w:rsidP="008559CE">
      <w:pPr>
        <w:pStyle w:val="Default"/>
        <w:jc w:val="both"/>
      </w:pPr>
      <w:r>
        <w:t xml:space="preserve">відділу управління </w:t>
      </w:r>
      <w:proofErr w:type="spellStart"/>
      <w:r>
        <w:t>адміністративно-</w:t>
      </w:r>
      <w:proofErr w:type="spellEnd"/>
    </w:p>
    <w:p w:rsidR="003902BB" w:rsidRPr="006F1184" w:rsidRDefault="008559CE" w:rsidP="00CD457E">
      <w:pPr>
        <w:pStyle w:val="Default"/>
        <w:jc w:val="both"/>
      </w:pPr>
      <w:r>
        <w:t>господарської діяльності</w:t>
      </w:r>
      <w:r>
        <w:tab/>
      </w:r>
      <w:r>
        <w:tab/>
      </w:r>
      <w:r>
        <w:tab/>
      </w:r>
      <w:r>
        <w:tab/>
      </w:r>
      <w:r>
        <w:tab/>
      </w:r>
      <w:r>
        <w:tab/>
      </w:r>
      <w:r>
        <w:tab/>
        <w:t>Євген КУСТОВСЬКИЙ</w:t>
      </w:r>
    </w:p>
    <w:sectPr w:rsidR="003902BB" w:rsidRPr="006F1184" w:rsidSect="0018491A">
      <w:pgSz w:w="11906" w:h="16838"/>
      <w:pgMar w:top="567" w:right="589"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BE1" w:rsidRDefault="00050BE1">
      <w:pPr>
        <w:spacing w:line="240" w:lineRule="auto"/>
      </w:pPr>
      <w:r>
        <w:separator/>
      </w:r>
    </w:p>
  </w:endnote>
  <w:endnote w:type="continuationSeparator" w:id="0">
    <w:p w:rsidR="00050BE1" w:rsidRDefault="00050B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BE1" w:rsidRDefault="00050BE1">
      <w:pPr>
        <w:spacing w:line="240" w:lineRule="auto"/>
      </w:pPr>
      <w:r>
        <w:separator/>
      </w:r>
    </w:p>
  </w:footnote>
  <w:footnote w:type="continuationSeparator" w:id="0">
    <w:p w:rsidR="00050BE1" w:rsidRDefault="00050BE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7226064"/>
    <w:lvl w:ilvl="0">
      <w:numFmt w:val="bullet"/>
      <w:lvlText w:val="*"/>
      <w:lvlJc w:val="left"/>
    </w:lvl>
  </w:abstractNum>
  <w:abstractNum w:abstractNumId="1">
    <w:nsid w:val="101071A5"/>
    <w:multiLevelType w:val="multilevel"/>
    <w:tmpl w:val="653C2F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2CAD1C6F"/>
    <w:multiLevelType w:val="hybridMultilevel"/>
    <w:tmpl w:val="9F7A99B8"/>
    <w:lvl w:ilvl="0" w:tplc="D400C0F6">
      <w:start w:val="1"/>
      <w:numFmt w:val="decimal"/>
      <w:lvlText w:val="%1."/>
      <w:lvlJc w:val="left"/>
      <w:pPr>
        <w:ind w:left="1185" w:hanging="360"/>
      </w:pPr>
      <w:rPr>
        <w:rFonts w:ascii="Times New Roman" w:hAnsi="Times New Roman" w:hint="default"/>
        <w:b/>
        <w:bCs w:val="0"/>
        <w:color w:val="auto"/>
      </w:rPr>
    </w:lvl>
    <w:lvl w:ilvl="1" w:tplc="04220019" w:tentative="1">
      <w:start w:val="1"/>
      <w:numFmt w:val="lowerLetter"/>
      <w:lvlText w:val="%2."/>
      <w:lvlJc w:val="left"/>
      <w:pPr>
        <w:ind w:left="1905" w:hanging="360"/>
      </w:pPr>
    </w:lvl>
    <w:lvl w:ilvl="2" w:tplc="0422001B" w:tentative="1">
      <w:start w:val="1"/>
      <w:numFmt w:val="lowerRoman"/>
      <w:lvlText w:val="%3."/>
      <w:lvlJc w:val="right"/>
      <w:pPr>
        <w:ind w:left="2625" w:hanging="180"/>
      </w:pPr>
    </w:lvl>
    <w:lvl w:ilvl="3" w:tplc="0422000F" w:tentative="1">
      <w:start w:val="1"/>
      <w:numFmt w:val="decimal"/>
      <w:lvlText w:val="%4."/>
      <w:lvlJc w:val="left"/>
      <w:pPr>
        <w:ind w:left="3345" w:hanging="360"/>
      </w:pPr>
    </w:lvl>
    <w:lvl w:ilvl="4" w:tplc="04220019" w:tentative="1">
      <w:start w:val="1"/>
      <w:numFmt w:val="lowerLetter"/>
      <w:lvlText w:val="%5."/>
      <w:lvlJc w:val="left"/>
      <w:pPr>
        <w:ind w:left="4065" w:hanging="360"/>
      </w:pPr>
    </w:lvl>
    <w:lvl w:ilvl="5" w:tplc="0422001B" w:tentative="1">
      <w:start w:val="1"/>
      <w:numFmt w:val="lowerRoman"/>
      <w:lvlText w:val="%6."/>
      <w:lvlJc w:val="right"/>
      <w:pPr>
        <w:ind w:left="4785" w:hanging="180"/>
      </w:pPr>
    </w:lvl>
    <w:lvl w:ilvl="6" w:tplc="0422000F" w:tentative="1">
      <w:start w:val="1"/>
      <w:numFmt w:val="decimal"/>
      <w:lvlText w:val="%7."/>
      <w:lvlJc w:val="left"/>
      <w:pPr>
        <w:ind w:left="5505" w:hanging="360"/>
      </w:pPr>
    </w:lvl>
    <w:lvl w:ilvl="7" w:tplc="04220019" w:tentative="1">
      <w:start w:val="1"/>
      <w:numFmt w:val="lowerLetter"/>
      <w:lvlText w:val="%8."/>
      <w:lvlJc w:val="left"/>
      <w:pPr>
        <w:ind w:left="6225" w:hanging="360"/>
      </w:pPr>
    </w:lvl>
    <w:lvl w:ilvl="8" w:tplc="0422001B" w:tentative="1">
      <w:start w:val="1"/>
      <w:numFmt w:val="lowerRoman"/>
      <w:lvlText w:val="%9."/>
      <w:lvlJc w:val="right"/>
      <w:pPr>
        <w:ind w:left="6945" w:hanging="180"/>
      </w:pPr>
    </w:lvl>
  </w:abstractNum>
  <w:abstractNum w:abstractNumId="3">
    <w:nsid w:val="2ECD1FCC"/>
    <w:multiLevelType w:val="hybridMultilevel"/>
    <w:tmpl w:val="8C6441A4"/>
    <w:lvl w:ilvl="0" w:tplc="579675BE">
      <w:start w:val="1"/>
      <w:numFmt w:val="bullet"/>
      <w:lvlText w:val="-"/>
      <w:lvlJc w:val="left"/>
      <w:pPr>
        <w:ind w:left="1080" w:hanging="360"/>
      </w:pPr>
      <w:rPr>
        <w:rFonts w:ascii="Times New Roman" w:eastAsia="Arial"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3B237491"/>
    <w:multiLevelType w:val="multilevel"/>
    <w:tmpl w:val="76B4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CD732F"/>
    <w:multiLevelType w:val="hybridMultilevel"/>
    <w:tmpl w:val="E7B6CD62"/>
    <w:lvl w:ilvl="0" w:tplc="ABDA5316">
      <w:start w:val="4"/>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0C3535"/>
    <w:multiLevelType w:val="hybridMultilevel"/>
    <w:tmpl w:val="5122FF76"/>
    <w:lvl w:ilvl="0" w:tplc="8E388FAC">
      <w:start w:val="1"/>
      <w:numFmt w:val="decimal"/>
      <w:lvlText w:val="%1."/>
      <w:lvlJc w:val="left"/>
      <w:pPr>
        <w:ind w:left="720" w:hanging="360"/>
      </w:pPr>
      <w:rPr>
        <w:rFonts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AF8719B"/>
    <w:multiLevelType w:val="hybridMultilevel"/>
    <w:tmpl w:val="964A02C6"/>
    <w:lvl w:ilvl="0" w:tplc="FC50338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9CE15AE"/>
    <w:multiLevelType w:val="hybridMultilevel"/>
    <w:tmpl w:val="37761164"/>
    <w:lvl w:ilvl="0" w:tplc="708890E6">
      <w:start w:val="1"/>
      <w:numFmt w:val="decimal"/>
      <w:lvlText w:val="%1."/>
      <w:lvlJc w:val="left"/>
      <w:pPr>
        <w:ind w:left="66" w:firstLine="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E420B54"/>
    <w:multiLevelType w:val="hybridMultilevel"/>
    <w:tmpl w:val="C6702E6E"/>
    <w:lvl w:ilvl="0" w:tplc="A09272E6">
      <w:start w:val="1"/>
      <w:numFmt w:val="decimal"/>
      <w:lvlText w:val="%1)"/>
      <w:lvlJc w:val="left"/>
      <w:pPr>
        <w:ind w:left="720" w:hanging="360"/>
      </w:pPr>
      <w:rPr>
        <w:rFonts w:ascii="Times New Roman" w:eastAsia="Arial"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6"/>
  </w:num>
  <w:num w:numId="5">
    <w:abstractNumId w:val="3"/>
  </w:num>
  <w:num w:numId="6">
    <w:abstractNumId w:val="7"/>
  </w:num>
  <w:num w:numId="7">
    <w:abstractNumId w:val="8"/>
  </w:num>
  <w:num w:numId="8">
    <w:abstractNumId w:val="0"/>
    <w:lvlOverride w:ilvl="0">
      <w:lvl w:ilvl="0">
        <w:numFmt w:val="bullet"/>
        <w:lvlText w:val=""/>
        <w:legacy w:legacy="1" w:legacySpace="0" w:legacyIndent="360"/>
        <w:lvlJc w:val="left"/>
        <w:rPr>
          <w:rFonts w:ascii="Symbol" w:hAnsi="Symbol" w:hint="default"/>
        </w:rPr>
      </w:lvl>
    </w:lvlOverride>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D31398"/>
    <w:rsid w:val="97FD9879"/>
    <w:rsid w:val="9E7F4A1E"/>
    <w:rsid w:val="EDBD7A4D"/>
    <w:rsid w:val="000231E4"/>
    <w:rsid w:val="0003089F"/>
    <w:rsid w:val="00040524"/>
    <w:rsid w:val="00046B2D"/>
    <w:rsid w:val="00050BE1"/>
    <w:rsid w:val="000611F7"/>
    <w:rsid w:val="0006189B"/>
    <w:rsid w:val="00066D2F"/>
    <w:rsid w:val="000735FD"/>
    <w:rsid w:val="00093AE1"/>
    <w:rsid w:val="000A6CA8"/>
    <w:rsid w:val="000B0065"/>
    <w:rsid w:val="000B69D9"/>
    <w:rsid w:val="000C4128"/>
    <w:rsid w:val="000D4DE0"/>
    <w:rsid w:val="000D4F53"/>
    <w:rsid w:val="000D66C6"/>
    <w:rsid w:val="000E6DE8"/>
    <w:rsid w:val="000F6610"/>
    <w:rsid w:val="0011042F"/>
    <w:rsid w:val="00172E00"/>
    <w:rsid w:val="0018491A"/>
    <w:rsid w:val="001868CB"/>
    <w:rsid w:val="00187E89"/>
    <w:rsid w:val="00190DC0"/>
    <w:rsid w:val="00195072"/>
    <w:rsid w:val="001A6BC0"/>
    <w:rsid w:val="001D1201"/>
    <w:rsid w:val="001D6A80"/>
    <w:rsid w:val="001E45D5"/>
    <w:rsid w:val="001F74C8"/>
    <w:rsid w:val="00200F34"/>
    <w:rsid w:val="00204EE3"/>
    <w:rsid w:val="00211FFE"/>
    <w:rsid w:val="0029579B"/>
    <w:rsid w:val="002B1D67"/>
    <w:rsid w:val="002B2767"/>
    <w:rsid w:val="002D2AC5"/>
    <w:rsid w:val="002F3886"/>
    <w:rsid w:val="00316C87"/>
    <w:rsid w:val="00327DD8"/>
    <w:rsid w:val="00344B5B"/>
    <w:rsid w:val="0035353A"/>
    <w:rsid w:val="00353892"/>
    <w:rsid w:val="00354109"/>
    <w:rsid w:val="00374D22"/>
    <w:rsid w:val="00382C8F"/>
    <w:rsid w:val="003902BB"/>
    <w:rsid w:val="003A37B4"/>
    <w:rsid w:val="003B53B3"/>
    <w:rsid w:val="003C0E29"/>
    <w:rsid w:val="003E229A"/>
    <w:rsid w:val="003E7B9D"/>
    <w:rsid w:val="00426F2D"/>
    <w:rsid w:val="004439F1"/>
    <w:rsid w:val="0044463B"/>
    <w:rsid w:val="0046041A"/>
    <w:rsid w:val="0047247B"/>
    <w:rsid w:val="00480354"/>
    <w:rsid w:val="00486B18"/>
    <w:rsid w:val="00492F5C"/>
    <w:rsid w:val="00497678"/>
    <w:rsid w:val="004A7457"/>
    <w:rsid w:val="004C2D30"/>
    <w:rsid w:val="004C4728"/>
    <w:rsid w:val="004C4FAB"/>
    <w:rsid w:val="005008D6"/>
    <w:rsid w:val="00500D4C"/>
    <w:rsid w:val="005108FA"/>
    <w:rsid w:val="005141A4"/>
    <w:rsid w:val="0051530B"/>
    <w:rsid w:val="0052423C"/>
    <w:rsid w:val="00525609"/>
    <w:rsid w:val="00534DCA"/>
    <w:rsid w:val="0055380F"/>
    <w:rsid w:val="0056683F"/>
    <w:rsid w:val="0058192B"/>
    <w:rsid w:val="005909E6"/>
    <w:rsid w:val="0059489B"/>
    <w:rsid w:val="005A21BD"/>
    <w:rsid w:val="005B4276"/>
    <w:rsid w:val="005F4C5C"/>
    <w:rsid w:val="00615E2C"/>
    <w:rsid w:val="00624100"/>
    <w:rsid w:val="00626A2F"/>
    <w:rsid w:val="006314DA"/>
    <w:rsid w:val="006331FF"/>
    <w:rsid w:val="00670888"/>
    <w:rsid w:val="006712B5"/>
    <w:rsid w:val="00675CA7"/>
    <w:rsid w:val="00695622"/>
    <w:rsid w:val="006A3DE5"/>
    <w:rsid w:val="006C356C"/>
    <w:rsid w:val="006D6A52"/>
    <w:rsid w:val="006F1184"/>
    <w:rsid w:val="00702B9B"/>
    <w:rsid w:val="00707A68"/>
    <w:rsid w:val="00710005"/>
    <w:rsid w:val="00717590"/>
    <w:rsid w:val="00735A6C"/>
    <w:rsid w:val="00750B0B"/>
    <w:rsid w:val="0077382A"/>
    <w:rsid w:val="0078477C"/>
    <w:rsid w:val="00785B35"/>
    <w:rsid w:val="00791115"/>
    <w:rsid w:val="00791B6F"/>
    <w:rsid w:val="0079378A"/>
    <w:rsid w:val="007A31BE"/>
    <w:rsid w:val="007B2ACD"/>
    <w:rsid w:val="007D06E3"/>
    <w:rsid w:val="007D1CC6"/>
    <w:rsid w:val="007F4441"/>
    <w:rsid w:val="00800BE1"/>
    <w:rsid w:val="0080143C"/>
    <w:rsid w:val="00806CAC"/>
    <w:rsid w:val="0081328C"/>
    <w:rsid w:val="00821EC8"/>
    <w:rsid w:val="008267D4"/>
    <w:rsid w:val="008458CE"/>
    <w:rsid w:val="00850410"/>
    <w:rsid w:val="008559CE"/>
    <w:rsid w:val="00861EF6"/>
    <w:rsid w:val="00873F6B"/>
    <w:rsid w:val="00880B4C"/>
    <w:rsid w:val="00895E1F"/>
    <w:rsid w:val="008B0E49"/>
    <w:rsid w:val="008B7D86"/>
    <w:rsid w:val="008C047E"/>
    <w:rsid w:val="008C4004"/>
    <w:rsid w:val="008C5187"/>
    <w:rsid w:val="008F2A3D"/>
    <w:rsid w:val="0091521F"/>
    <w:rsid w:val="009245E8"/>
    <w:rsid w:val="00927042"/>
    <w:rsid w:val="0093391B"/>
    <w:rsid w:val="00945008"/>
    <w:rsid w:val="00956DF0"/>
    <w:rsid w:val="00972D75"/>
    <w:rsid w:val="00993DEC"/>
    <w:rsid w:val="00996107"/>
    <w:rsid w:val="009C2252"/>
    <w:rsid w:val="009D43D9"/>
    <w:rsid w:val="009D6DBD"/>
    <w:rsid w:val="00A06C66"/>
    <w:rsid w:val="00A17740"/>
    <w:rsid w:val="00A20E4E"/>
    <w:rsid w:val="00A31276"/>
    <w:rsid w:val="00A474D7"/>
    <w:rsid w:val="00A52A66"/>
    <w:rsid w:val="00A71946"/>
    <w:rsid w:val="00A900DF"/>
    <w:rsid w:val="00A90FD7"/>
    <w:rsid w:val="00A93E91"/>
    <w:rsid w:val="00AA520C"/>
    <w:rsid w:val="00AA60A9"/>
    <w:rsid w:val="00AB1543"/>
    <w:rsid w:val="00AB6153"/>
    <w:rsid w:val="00AE0A72"/>
    <w:rsid w:val="00AF6903"/>
    <w:rsid w:val="00AF7F16"/>
    <w:rsid w:val="00B30EE2"/>
    <w:rsid w:val="00B36B20"/>
    <w:rsid w:val="00B3768D"/>
    <w:rsid w:val="00B53C85"/>
    <w:rsid w:val="00B541BA"/>
    <w:rsid w:val="00B5683C"/>
    <w:rsid w:val="00B9734D"/>
    <w:rsid w:val="00BC6097"/>
    <w:rsid w:val="00BD5407"/>
    <w:rsid w:val="00BD58BF"/>
    <w:rsid w:val="00BE2287"/>
    <w:rsid w:val="00BF688B"/>
    <w:rsid w:val="00BF79A5"/>
    <w:rsid w:val="00C0204B"/>
    <w:rsid w:val="00C106A8"/>
    <w:rsid w:val="00C121B4"/>
    <w:rsid w:val="00C2246C"/>
    <w:rsid w:val="00C345E8"/>
    <w:rsid w:val="00C4194A"/>
    <w:rsid w:val="00C41F65"/>
    <w:rsid w:val="00C46E8E"/>
    <w:rsid w:val="00C57AB2"/>
    <w:rsid w:val="00C758C2"/>
    <w:rsid w:val="00C85A9F"/>
    <w:rsid w:val="00CC3F49"/>
    <w:rsid w:val="00CD457E"/>
    <w:rsid w:val="00CE1A06"/>
    <w:rsid w:val="00CF196E"/>
    <w:rsid w:val="00CF1D65"/>
    <w:rsid w:val="00D31398"/>
    <w:rsid w:val="00D407F5"/>
    <w:rsid w:val="00D51E23"/>
    <w:rsid w:val="00D64230"/>
    <w:rsid w:val="00D73890"/>
    <w:rsid w:val="00DA5882"/>
    <w:rsid w:val="00DC23DE"/>
    <w:rsid w:val="00DD2E68"/>
    <w:rsid w:val="00DE1144"/>
    <w:rsid w:val="00DF3088"/>
    <w:rsid w:val="00E14933"/>
    <w:rsid w:val="00E15BCF"/>
    <w:rsid w:val="00E21001"/>
    <w:rsid w:val="00E336E0"/>
    <w:rsid w:val="00E340B0"/>
    <w:rsid w:val="00E50FD7"/>
    <w:rsid w:val="00E71020"/>
    <w:rsid w:val="00E93FBF"/>
    <w:rsid w:val="00EA072D"/>
    <w:rsid w:val="00EB1CA4"/>
    <w:rsid w:val="00EC02F2"/>
    <w:rsid w:val="00EC3F8D"/>
    <w:rsid w:val="00ED38DF"/>
    <w:rsid w:val="00F12AAB"/>
    <w:rsid w:val="00F43D58"/>
    <w:rsid w:val="00F6329F"/>
    <w:rsid w:val="00F63972"/>
    <w:rsid w:val="00F70110"/>
    <w:rsid w:val="00F73271"/>
    <w:rsid w:val="00F81167"/>
    <w:rsid w:val="00FB3029"/>
    <w:rsid w:val="00FD52E2"/>
    <w:rsid w:val="00FE061B"/>
    <w:rsid w:val="00FF2D88"/>
    <w:rsid w:val="00FF434A"/>
    <w:rsid w:val="56BF14D3"/>
    <w:rsid w:val="6A7F69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DC0"/>
    <w:pPr>
      <w:spacing w:after="200" w:line="276" w:lineRule="auto"/>
    </w:pPr>
    <w:rPr>
      <w:rFonts w:ascii="Calibri" w:eastAsia="Calibri" w:hAnsi="Calibri"/>
      <w:sz w:val="22"/>
      <w:szCs w:val="22"/>
      <w:lang w:val="uk-UA" w:eastAsia="en-US"/>
    </w:rPr>
  </w:style>
  <w:style w:type="paragraph" w:styleId="2">
    <w:name w:val="heading 2"/>
    <w:basedOn w:val="a"/>
    <w:link w:val="20"/>
    <w:uiPriority w:val="9"/>
    <w:qFormat/>
    <w:rsid w:val="00E21001"/>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90DC0"/>
    <w:rPr>
      <w:i/>
      <w:iCs/>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nhideWhenUsed/>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rsid w:val="00190DC0"/>
  </w:style>
  <w:style w:type="paragraph" w:customStyle="1" w:styleId="rvps2">
    <w:name w:val="rvps2"/>
    <w:basedOn w:val="a"/>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rsid w:val="00190DC0"/>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6">
    <w:name w:val="Balloon Text"/>
    <w:basedOn w:val="a"/>
    <w:link w:val="a7"/>
    <w:uiPriority w:val="99"/>
    <w:semiHidden/>
    <w:unhideWhenUsed/>
    <w:rsid w:val="00AF69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6903"/>
    <w:rPr>
      <w:rFonts w:ascii="Tahoma" w:eastAsia="Calibri" w:hAnsi="Tahoma" w:cs="Tahoma"/>
      <w:sz w:val="16"/>
      <w:szCs w:val="16"/>
      <w:lang w:val="uk-UA" w:eastAsia="en-US"/>
    </w:rPr>
  </w:style>
  <w:style w:type="table" w:styleId="a8">
    <w:name w:val="Table Grid"/>
    <w:basedOn w:val="a1"/>
    <w:uiPriority w:val="39"/>
    <w:rsid w:val="00AF6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52423C"/>
    <w:pPr>
      <w:spacing w:after="0" w:line="276" w:lineRule="auto"/>
    </w:pPr>
    <w:rPr>
      <w:rFonts w:ascii="Arial" w:eastAsia="Arial" w:hAnsi="Arial" w:cs="Arial"/>
      <w:color w:val="000000"/>
      <w:sz w:val="22"/>
      <w:szCs w:val="22"/>
    </w:rPr>
  </w:style>
  <w:style w:type="character" w:customStyle="1" w:styleId="value">
    <w:name w:val="value"/>
    <w:basedOn w:val="a0"/>
    <w:rsid w:val="00AB6153"/>
  </w:style>
  <w:style w:type="character" w:styleId="a9">
    <w:name w:val="Hyperlink"/>
    <w:basedOn w:val="a0"/>
    <w:uiPriority w:val="99"/>
    <w:semiHidden/>
    <w:unhideWhenUsed/>
    <w:rsid w:val="00AB6153"/>
    <w:rPr>
      <w:color w:val="0000FF"/>
      <w:u w:val="single"/>
    </w:rPr>
  </w:style>
  <w:style w:type="paragraph" w:customStyle="1" w:styleId="Default">
    <w:name w:val="Default"/>
    <w:rsid w:val="008559CE"/>
    <w:pPr>
      <w:autoSpaceDE w:val="0"/>
      <w:autoSpaceDN w:val="0"/>
      <w:adjustRightInd w:val="0"/>
      <w:spacing w:after="0" w:line="240" w:lineRule="auto"/>
    </w:pPr>
    <w:rPr>
      <w:rFonts w:eastAsiaTheme="minorHAnsi"/>
      <w:color w:val="000000"/>
      <w:sz w:val="24"/>
      <w:szCs w:val="24"/>
      <w:lang w:val="uk-UA" w:eastAsia="en-US"/>
    </w:rPr>
  </w:style>
  <w:style w:type="character" w:customStyle="1" w:styleId="valignt">
    <w:name w:val="valign(t)"/>
    <w:basedOn w:val="a0"/>
    <w:rsid w:val="00204EE3"/>
  </w:style>
  <w:style w:type="paragraph" w:styleId="aa">
    <w:name w:val="List Paragraph"/>
    <w:aliases w:val="название табл/рис,Список уровня 2,Bullet Number,Bullet 1,Use Case List Paragraph,lp1,List Paragraph1,lp11,List Paragraph11,1 Буллет,AC List 01,заголовок 1.1,List Paragraph (numbered (a)),List_Paragraph,Multilevel para_II,Akapit z listą BS"/>
    <w:basedOn w:val="a"/>
    <w:link w:val="ab"/>
    <w:uiPriority w:val="34"/>
    <w:qFormat/>
    <w:rsid w:val="000F6610"/>
    <w:pPr>
      <w:widowControl w:val="0"/>
      <w:suppressAutoHyphens/>
      <w:autoSpaceDE w:val="0"/>
      <w:spacing w:after="0" w:line="100" w:lineRule="atLeast"/>
      <w:ind w:left="708"/>
    </w:pPr>
    <w:rPr>
      <w:rFonts w:ascii="Arial" w:eastAsia="Times New Roman" w:hAnsi="Arial"/>
      <w:sz w:val="20"/>
      <w:szCs w:val="20"/>
      <w:lang w:val="ru-RU" w:eastAsia="zh-CN"/>
    </w:rPr>
  </w:style>
  <w:style w:type="character" w:customStyle="1" w:styleId="ab">
    <w:name w:val="Абзац списка Знак"/>
    <w:aliases w:val="название табл/рис Знак,Список уровня 2 Знак,Bullet Number Знак,Bullet 1 Знак,Use Case List Paragraph Знак,lp1 Знак,List Paragraph1 Знак,lp11 Знак,List Paragraph11 Знак,1 Буллет Знак,AC List 01 Знак,заголовок 1.1 Знак"/>
    <w:link w:val="aa"/>
    <w:uiPriority w:val="34"/>
    <w:locked/>
    <w:rsid w:val="000F6610"/>
    <w:rPr>
      <w:rFonts w:ascii="Arial" w:eastAsia="Times New Roman" w:hAnsi="Arial"/>
      <w:lang w:eastAsia="zh-CN"/>
    </w:rPr>
  </w:style>
  <w:style w:type="paragraph" w:customStyle="1" w:styleId="tj">
    <w:name w:val="tj"/>
    <w:basedOn w:val="a"/>
    <w:rsid w:val="0080143C"/>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mend05rem">
    <w:name w:val="mend(0.5rem)"/>
    <w:basedOn w:val="a0"/>
    <w:rsid w:val="00C0204B"/>
  </w:style>
  <w:style w:type="character" w:customStyle="1" w:styleId="a5">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E21001"/>
    <w:rPr>
      <w:rFonts w:eastAsia="Times New Roman"/>
      <w:sz w:val="24"/>
      <w:szCs w:val="24"/>
      <w:lang w:val="uk-UA" w:eastAsia="uk-UA"/>
    </w:rPr>
  </w:style>
  <w:style w:type="character" w:customStyle="1" w:styleId="20">
    <w:name w:val="Заголовок 2 Знак"/>
    <w:basedOn w:val="a0"/>
    <w:link w:val="2"/>
    <w:uiPriority w:val="9"/>
    <w:rsid w:val="00E21001"/>
    <w:rPr>
      <w:rFonts w:eastAsia="Times New Roman"/>
      <w:b/>
      <w:bCs/>
      <w:sz w:val="36"/>
      <w:szCs w:val="3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paragraph" w:styleId="a4">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5">
    <w:name w:val="Balloon Text"/>
    <w:basedOn w:val="a"/>
    <w:link w:val="a6"/>
    <w:uiPriority w:val="99"/>
    <w:semiHidden/>
    <w:unhideWhenUsed/>
    <w:rsid w:val="00AF69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903"/>
    <w:rPr>
      <w:rFonts w:ascii="Tahoma" w:eastAsia="Calibri" w:hAnsi="Tahoma" w:cs="Tahoma"/>
      <w:sz w:val="16"/>
      <w:szCs w:val="16"/>
      <w:lang w:val="uk-UA" w:eastAsia="en-US"/>
    </w:rPr>
  </w:style>
  <w:style w:type="table" w:styleId="a7">
    <w:name w:val="Table Grid"/>
    <w:basedOn w:val="a1"/>
    <w:uiPriority w:val="39"/>
    <w:rsid w:val="00AF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52423C"/>
    <w:pPr>
      <w:spacing w:after="0"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477408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tender.com.ua/prozorro/tender/25931784"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zorro.gov.ua/tender/UA-2025-07-21-00961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2824</Words>
  <Characters>1611</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6</cp:revision>
  <cp:lastPrinted>2025-07-22T06:45:00Z</cp:lastPrinted>
  <dcterms:created xsi:type="dcterms:W3CDTF">2025-01-30T07:28:00Z</dcterms:created>
  <dcterms:modified xsi:type="dcterms:W3CDTF">2025-07-22T06:45:00Z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1058-11.1.0.10161</vt:lpwstr>
  </property>
</Properties>
</file>