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bottomFromText="160" w:vertAnchor="text" w:tblpXSpec="right" w:tblpYSpec="center"/>
        <w:tblW w:w="2501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</w:tblGrid>
      <w:tr w:rsidR="00DB6BA4" w:rsidRPr="00DB6BA4" w:rsidTr="00D77788">
        <w:trPr>
          <w:tblCellSpacing w:w="22" w:type="dxa"/>
        </w:trPr>
        <w:tc>
          <w:tcPr>
            <w:tcW w:w="4911" w:type="pct"/>
            <w:hideMark/>
          </w:tcPr>
          <w:p w:rsidR="00795FB8" w:rsidRPr="00DB6BA4" w:rsidRDefault="00795FB8" w:rsidP="00CC40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 Міністерства фінанс</w:t>
            </w:r>
            <w:r w:rsidR="0097723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України</w:t>
            </w:r>
            <w:r w:rsidR="0097723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25 квітня 2023 року №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213</w:t>
            </w:r>
            <w:r w:rsidR="00D2389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389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 редакції наказу  Міністерства фінансів України</w:t>
            </w:r>
            <w:r w:rsidR="00B66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77788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B66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тра</w:t>
            </w:r>
            <w:bookmarkStart w:id="0" w:name="_GoBack"/>
            <w:bookmarkEnd w:id="0"/>
            <w:r w:rsidR="00B66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вня</w:t>
            </w:r>
            <w:r w:rsidR="00D77788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2025 року №</w:t>
            </w:r>
            <w:r w:rsidR="00B66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278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D2389E" w:rsidRPr="00DB6BA4" w:rsidRDefault="00D2389E" w:rsidP="00D2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b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10205"/>
      </w:tblGrid>
      <w:tr w:rsidR="00DB6BA4" w:rsidRPr="00DB6BA4" w:rsidTr="00F471E8">
        <w:tc>
          <w:tcPr>
            <w:tcW w:w="264" w:type="pct"/>
            <w:hideMark/>
          </w:tcPr>
          <w:p w:rsidR="00E5475A" w:rsidRPr="00DB6BA4" w:rsidRDefault="00E5475A" w:rsidP="00E54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36" w:type="pct"/>
            <w:hideMark/>
          </w:tcPr>
          <w:p w:rsidR="00E5475A" w:rsidRPr="00DB6BA4" w:rsidRDefault="00E5475A" w:rsidP="00E547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гарантія</w:t>
            </w:r>
          </w:p>
        </w:tc>
      </w:tr>
      <w:tr w:rsidR="00DB6BA4" w:rsidRPr="00DB6BA4" w:rsidTr="00F471E8">
        <w:tc>
          <w:tcPr>
            <w:tcW w:w="264" w:type="pct"/>
            <w:hideMark/>
          </w:tcPr>
          <w:p w:rsidR="00E5475A" w:rsidRPr="00DB6BA4" w:rsidRDefault="00D2389E" w:rsidP="00E547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B6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</w:t>
            </w:r>
          </w:p>
        </w:tc>
        <w:tc>
          <w:tcPr>
            <w:tcW w:w="4736" w:type="pct"/>
            <w:hideMark/>
          </w:tcPr>
          <w:p w:rsidR="002B7026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940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</w:t>
            </w:r>
            <w:r w:rsidR="005940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</w:t>
            </w:r>
            <w:r w:rsidR="0017498B" w:rsidRPr="001749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</w:t>
            </w:r>
            <w:r w:rsidR="005940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5940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940A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</w:t>
            </w:r>
            <w:r w:rsidR="00516D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</w:t>
            </w:r>
            <w:r w:rsidR="00D2389E" w:rsidRPr="00DD06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(найменування, код згідно з </w:t>
            </w:r>
            <w:r w:rsidRPr="00DD06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ЄДРПОУ, обліковий номер, присвоєний митним органом)</w:t>
            </w:r>
          </w:p>
          <w:p w:rsidR="004E5F10" w:rsidRPr="00DB6BA4" w:rsidRDefault="005940A7" w:rsidP="005940A7">
            <w:pPr>
              <w:spacing w:after="60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B7026">
              <w:rPr>
                <w:rFonts w:ascii="Times New Roman" w:eastAsia="Times New Roman" w:hAnsi="Times New Roman" w:cs="Times New Roman"/>
                <w:sz w:val="2"/>
                <w:szCs w:val="18"/>
                <w:lang w:eastAsia="uk-UA"/>
              </w:rPr>
              <w:br/>
            </w:r>
            <w:r w:rsidR="00E5475A" w:rsidRPr="005940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якого:</w:t>
            </w:r>
            <w:r w:rsidR="00E5475A" w:rsidRPr="005940A7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="008D1A1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_,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1067F" w:rsidRPr="00DD06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            </w:t>
            </w:r>
            <w:r w:rsidR="00296F98" w:rsidRPr="00DD06F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r w:rsidR="0011067F" w:rsidRPr="00DD06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</w:t>
            </w:r>
            <w:r w:rsidR="00E5475A" w:rsidRPr="00DD06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(країна, поштовий індекс, адреса)</w:t>
            </w:r>
          </w:p>
          <w:p w:rsidR="004E5F10" w:rsidRPr="00DB6BA4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надає цю гарантію Державній митній службі України та </w:t>
            </w:r>
            <w:r w:rsidR="00D77788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язується сплатити на користь держави Україна шляхом перерахування до державного бюджету будь-яку суму в розмірі, </w:t>
            </w:r>
            <w:r w:rsidR="008D1A1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не перевищує</w:t>
            </w:r>
          </w:p>
          <w:p w:rsidR="0012624B" w:rsidRPr="0012624B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гривень,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1067F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                </w:t>
            </w:r>
            <w:r w:rsidR="00296F98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uk-UA"/>
              </w:rPr>
              <w:t xml:space="preserve"> </w:t>
            </w:r>
            <w:r w:rsidR="0011067F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</w:t>
            </w:r>
            <w:r w:rsidR="005940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</w:t>
            </w:r>
            <w:r w:rsidR="0011067F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</w:t>
            </w:r>
            <w:r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(цифрами та словами)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разі невиконання особою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471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12624B" w:rsidRPr="0012624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(найменування, код згідно з ЄДРПОУ, обліковий номер, присвоєний митним органом / прізвище (за наявності),  ім’я,  </w:t>
            </w:r>
          </w:p>
          <w:p w:rsidR="0012624B" w:rsidRPr="0012624B" w:rsidRDefault="0012624B" w:rsidP="005940A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624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2624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по батькові (за наявності), реєстраційний номер облікової картки платника податків (за наявності) або серія (за наявності)  </w:t>
            </w:r>
          </w:p>
          <w:p w:rsidR="0012624B" w:rsidRPr="0012624B" w:rsidRDefault="0012624B" w:rsidP="005940A7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624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та номер паспорта (для фізичних осіб, які через свої релігійні переконання відмовляються від прийняття реєстраційного</w:t>
            </w:r>
          </w:p>
          <w:p w:rsidR="00DD06F2" w:rsidRDefault="0012624B" w:rsidP="005940A7">
            <w:pPr>
              <w:spacing w:after="40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2624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номера облікової картки платника податків відповідно до закону), обліковий номер, присвоєний митним органом)</w:t>
            </w:r>
          </w:p>
          <w:p w:rsidR="00836A6B" w:rsidRPr="00836A6B" w:rsidRDefault="00E5475A" w:rsidP="005940A7">
            <w:pPr>
              <w:spacing w:after="40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  <w:br/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якої: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="008D1A1E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1067F" w:rsidRPr="00836A6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          </w:t>
            </w:r>
            <w:r w:rsidR="00296F98" w:rsidRPr="00836A6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</w:t>
            </w:r>
            <w:r w:rsidR="0011067F" w:rsidRPr="00836A6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</w:t>
            </w:r>
            <w:r w:rsidRPr="00836A6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(країна, поштовий індекс, адреса)</w:t>
            </w:r>
            <w:r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br/>
            </w:r>
          </w:p>
          <w:p w:rsidR="00E5475A" w:rsidRPr="00DD06F2" w:rsidRDefault="0097723E" w:rsidP="005940A7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обов’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язку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зі сплати митних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платежів, який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виник у зв</w:t>
            </w:r>
            <w:r w:rsidR="00F3195B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836A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язку з порушенням умов митного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режиму або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невиконанням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митних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формальностей, що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визначили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або становили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митну </w:t>
            </w:r>
            <w:r w:rsidR="001B5E7D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процедуру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="00E5475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1067F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</w:t>
            </w:r>
            <w:r w:rsidR="00DD06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</w:t>
            </w:r>
            <w:r w:rsidR="0011067F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</w:t>
            </w:r>
            <w:r w:rsidR="00E5475A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(коди митних проце</w:t>
            </w:r>
            <w:r w:rsidR="00C24C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дур, щодо яких надано гарантію)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UA01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="00375791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переміщення територією України транзитом товарів та/або транспортних засобів комерційного призначення (статті 92, 96 глави 17 розділу V </w:t>
            </w:r>
            <w:hyperlink r:id="rId7" w:history="1">
              <w:r w:rsidR="00375791"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="00375791"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UA02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оформлення митним органом тимчасової митної декларації (стаття 260 глави 40 розділу</w:t>
            </w:r>
            <w:r w:rsidR="0035299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VIII </w:t>
            </w:r>
            <w:hyperlink r:id="rId8" w:history="1">
              <w:r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UA03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оформлення митним органом періодичної митної декларації (стаття 260 глави 40 розділу</w:t>
            </w:r>
            <w:r w:rsidR="0035299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VIII </w:t>
            </w:r>
            <w:hyperlink r:id="rId9" w:history="1">
              <w:r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UA04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незгода декларанта з рішенням митного органу про коригування заявленої митної вартості товарів (стаття 55 глави 8 розділу III </w:t>
            </w:r>
            <w:hyperlink r:id="rId10" w:history="1">
              <w:r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UA05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FF2DF3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FF2DF3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переробка товарів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на митній території України (</w:t>
            </w:r>
            <w:r w:rsidR="000E14FE" w:rsidRPr="00DD06F2">
              <w:rPr>
                <w:rFonts w:ascii="Times New Roman" w:eastAsia="Times New Roman" w:hAnsi="Times New Roman" w:cs="Times New Roman"/>
                <w:lang w:eastAsia="uk-UA"/>
              </w:rPr>
              <w:t>статт</w:t>
            </w:r>
            <w:r w:rsidR="00D2389E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я </w:t>
            </w:r>
            <w:r w:rsidR="00E866B4" w:rsidRPr="00DD06F2">
              <w:rPr>
                <w:rFonts w:ascii="Times New Roman" w:eastAsia="Times New Roman" w:hAnsi="Times New Roman" w:cs="Times New Roman"/>
                <w:lang w:eastAsia="uk-UA"/>
              </w:rPr>
              <w:t>73</w:t>
            </w:r>
            <w:r w:rsidR="00B25D5C" w:rsidRPr="00DD06F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6</w:t>
            </w:r>
            <w:r w:rsidR="00B25D5C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B25D5C" w:rsidRPr="00DD06F2">
              <w:rPr>
                <w:rFonts w:ascii="Times New Roman" w:eastAsia="Calibri" w:hAnsi="Times New Roman" w:cs="Times New Roman"/>
              </w:rPr>
              <w:t>глави 12 розділу V</w:t>
            </w:r>
            <w:r w:rsidR="00B25D5C" w:rsidRPr="00DD06F2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="00E866B4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стаття</w:t>
            </w:r>
            <w:r w:rsidR="006811AF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E14FE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149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глави</w:t>
            </w:r>
            <w:r w:rsidR="0035299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23 розділу V </w:t>
            </w:r>
            <w:hyperlink r:id="rId11" w:history="1">
              <w:r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UA06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="00FF2DF3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тимчасове ввезення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товарів (статт</w:t>
            </w:r>
            <w:r w:rsidR="00A1575E" w:rsidRPr="00DD06F2"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E866B4" w:rsidRPr="00DD06F2">
              <w:rPr>
                <w:rFonts w:ascii="Times New Roman" w:eastAsia="Times New Roman" w:hAnsi="Times New Roman" w:cs="Times New Roman"/>
                <w:lang w:eastAsia="uk-UA"/>
              </w:rPr>
              <w:t>104</w:t>
            </w:r>
            <w:r w:rsidR="00A1575E" w:rsidRPr="00DD06F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1</w:t>
            </w:r>
            <w:r w:rsidR="00A1575E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110 глави 18 розділу V </w:t>
            </w:r>
            <w:hyperlink r:id="rId12" w:history="1">
              <w:r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5B4CB0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trike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UA07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="00EA7F09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ввезення </w:t>
            </w:r>
            <w:r w:rsidR="002A7166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замінних товарів та </w:t>
            </w:r>
            <w:r w:rsidR="00EA7F09" w:rsidRPr="00DD06F2">
              <w:rPr>
                <w:rFonts w:ascii="Times New Roman" w:eastAsia="Times New Roman" w:hAnsi="Times New Roman" w:cs="Times New Roman"/>
                <w:lang w:eastAsia="uk-UA"/>
              </w:rPr>
              <w:t>продуктів переробки, виготовлених із еквівалентних товарів</w:t>
            </w:r>
            <w:r w:rsidR="00EA7F09" w:rsidRPr="00DD06F2">
              <w:rPr>
                <w:rFonts w:ascii="Times New Roman" w:eastAsia="Calibri" w:hAnsi="Times New Roman" w:cs="Times New Roman"/>
              </w:rPr>
              <w:t xml:space="preserve"> </w:t>
            </w:r>
            <w:r w:rsidR="00296F98" w:rsidRPr="00DD06F2">
              <w:rPr>
                <w:rFonts w:ascii="Times New Roman" w:eastAsia="Calibri" w:hAnsi="Times New Roman" w:cs="Times New Roman"/>
              </w:rPr>
              <w:br/>
            </w:r>
            <w:r w:rsidR="005B4CB0" w:rsidRPr="00DD06F2">
              <w:rPr>
                <w:rFonts w:ascii="Times New Roman" w:eastAsia="Calibri" w:hAnsi="Times New Roman" w:cs="Times New Roman"/>
              </w:rPr>
              <w:t>(статт</w:t>
            </w:r>
            <w:r w:rsidR="002A7166" w:rsidRPr="00DD06F2">
              <w:rPr>
                <w:rFonts w:ascii="Times New Roman" w:eastAsia="Calibri" w:hAnsi="Times New Roman" w:cs="Times New Roman"/>
              </w:rPr>
              <w:t>і</w:t>
            </w:r>
            <w:r w:rsidR="005B4CB0" w:rsidRPr="00DD06F2">
              <w:rPr>
                <w:rFonts w:ascii="Times New Roman" w:eastAsia="Calibri" w:hAnsi="Times New Roman" w:cs="Times New Roman"/>
              </w:rPr>
              <w:t xml:space="preserve"> 1</w:t>
            </w:r>
            <w:r w:rsidR="00EA7F09" w:rsidRPr="00DD06F2">
              <w:rPr>
                <w:rFonts w:ascii="Times New Roman" w:eastAsia="Calibri" w:hAnsi="Times New Roman" w:cs="Times New Roman"/>
              </w:rPr>
              <w:t>71</w:t>
            </w:r>
            <w:r w:rsidR="00E866B4" w:rsidRPr="00DD06F2">
              <w:rPr>
                <w:rFonts w:ascii="Times New Roman" w:eastAsia="Calibri" w:hAnsi="Times New Roman" w:cs="Times New Roman"/>
              </w:rPr>
              <w:t>, 171</w:t>
            </w:r>
            <w:r w:rsidR="002A7166" w:rsidRPr="00DD06F2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5B4CB0" w:rsidRPr="00DD06F2">
              <w:rPr>
                <w:rFonts w:ascii="Times New Roman" w:eastAsia="Calibri" w:hAnsi="Times New Roman" w:cs="Times New Roman"/>
              </w:rPr>
              <w:t xml:space="preserve"> </w:t>
            </w:r>
            <w:r w:rsidR="00EA7F09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глави 24 розділу V </w:t>
            </w:r>
            <w:hyperlink r:id="rId13" w:history="1">
              <w:r w:rsidR="00EA7F09"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="005B4CB0" w:rsidRPr="00DD06F2">
              <w:rPr>
                <w:rFonts w:ascii="Times New Roman" w:eastAsia="Calibri" w:hAnsi="Times New Roman" w:cs="Times New Roman"/>
              </w:rPr>
              <w:t>);</w:t>
            </w:r>
          </w:p>
          <w:p w:rsidR="00E5475A" w:rsidRPr="00DD06F2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D06F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UA08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t>–</w:t>
            </w:r>
            <w:r w:rsidR="00296F98" w:rsidRPr="00DD06F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переробк</w:t>
            </w:r>
            <w:r w:rsidR="00EA7F09" w:rsidRPr="00DD06F2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за межами митної території України (статт</w:t>
            </w:r>
            <w:r w:rsidR="00E866B4" w:rsidRPr="00DD06F2">
              <w:rPr>
                <w:rFonts w:ascii="Times New Roman" w:eastAsia="Times New Roman" w:hAnsi="Times New Roman" w:cs="Times New Roman"/>
                <w:lang w:eastAsia="uk-UA"/>
              </w:rPr>
              <w:t>я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E866B4" w:rsidRPr="00DD06F2">
              <w:rPr>
                <w:rFonts w:ascii="Times New Roman" w:eastAsia="Times New Roman" w:hAnsi="Times New Roman" w:cs="Times New Roman"/>
                <w:lang w:eastAsia="uk-UA"/>
              </w:rPr>
              <w:t>73</w:t>
            </w:r>
            <w:r w:rsidR="004709DF" w:rsidRPr="00DD06F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6</w:t>
            </w:r>
            <w:r w:rsidR="004709DF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4709DF" w:rsidRPr="00DD06F2">
              <w:rPr>
                <w:rFonts w:ascii="Times New Roman" w:eastAsia="Calibri" w:hAnsi="Times New Roman" w:cs="Times New Roman"/>
              </w:rPr>
              <w:t>глави 12 розділу V</w:t>
            </w:r>
            <w:r w:rsidR="004709DF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="00E866B4"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стаття 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164 глави</w:t>
            </w:r>
            <w:r w:rsidR="0035299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24 </w:t>
            </w:r>
            <w:r w:rsidR="00296F98" w:rsidRPr="00DD06F2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 xml:space="preserve">розділу V </w:t>
            </w:r>
            <w:hyperlink r:id="rId14" w:history="1">
              <w:r w:rsidRPr="00DD06F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DD06F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E5475A" w:rsidRPr="0035299C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pacing w:val="-6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uk-UA"/>
              </w:rPr>
              <w:lastRenderedPageBreak/>
              <w:t>UA09</w:t>
            </w:r>
            <w:r w:rsidR="0011067F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 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–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val="ru-RU" w:eastAsia="uk-UA"/>
              </w:rPr>
              <w:t xml:space="preserve"> 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тимчасове ввезення на митну територію України запасних частин та обладнання, призначених для використання у процесі ремонту та технічного обслуговування транспортних засобів комерційного призначення, тимчасово ввезених на митну територію України (стаття 189 глави 27 розділу VI </w:t>
            </w:r>
            <w:hyperlink r:id="rId15" w:history="1">
              <w:r w:rsidRPr="0035299C">
                <w:rPr>
                  <w:rFonts w:ascii="Times New Roman" w:eastAsia="Times New Roman" w:hAnsi="Times New Roman" w:cs="Times New Roman"/>
                  <w:spacing w:val="-6"/>
                  <w:lang w:eastAsia="uk-UA"/>
                </w:rPr>
                <w:t>Митного кодексу України</w:t>
              </w:r>
            </w:hyperlink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);</w:t>
            </w:r>
          </w:p>
          <w:p w:rsidR="00E5475A" w:rsidRPr="0035299C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pacing w:val="-6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uk-UA"/>
              </w:rPr>
              <w:t xml:space="preserve">UA11 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– </w:t>
            </w:r>
            <w:r w:rsidR="006E6DA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інші митні процедури, щодо яких законодавством України з питань митної справи передбачено надання забезпечення сплати митних платежів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;</w:t>
            </w:r>
          </w:p>
          <w:p w:rsidR="006811AF" w:rsidRPr="0035299C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pacing w:val="-6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uk-UA"/>
              </w:rPr>
              <w:t>UA12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– </w:t>
            </w:r>
            <w:r w:rsidR="006811AF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розміщення товарів на тимчасове зберігання та/або у митний режим митного складу (статт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я</w:t>
            </w:r>
            <w:r w:rsidR="00375791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B25D5C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73</w:t>
            </w:r>
            <w:r w:rsidR="00B25D5C" w:rsidRPr="0035299C">
              <w:rPr>
                <w:rFonts w:ascii="Times New Roman" w:eastAsia="Times New Roman" w:hAnsi="Times New Roman" w:cs="Times New Roman"/>
                <w:spacing w:val="-6"/>
                <w:vertAlign w:val="superscript"/>
                <w:lang w:eastAsia="uk-UA"/>
              </w:rPr>
              <w:t>6</w:t>
            </w:r>
            <w:r w:rsidR="00B25D5C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B25D5C" w:rsidRPr="0035299C">
              <w:rPr>
                <w:rFonts w:ascii="Times New Roman" w:eastAsia="Calibri" w:hAnsi="Times New Roman" w:cs="Times New Roman"/>
                <w:spacing w:val="-6"/>
              </w:rPr>
              <w:t>глави</w:t>
            </w:r>
            <w:r w:rsidR="0035299C">
              <w:rPr>
                <w:rFonts w:ascii="Times New Roman" w:eastAsia="Calibri" w:hAnsi="Times New Roman" w:cs="Times New Roman"/>
                <w:spacing w:val="-6"/>
              </w:rPr>
              <w:t> </w:t>
            </w:r>
            <w:r w:rsidR="00B25D5C" w:rsidRPr="0035299C">
              <w:rPr>
                <w:rFonts w:ascii="Times New Roman" w:eastAsia="Calibri" w:hAnsi="Times New Roman" w:cs="Times New Roman"/>
                <w:spacing w:val="-6"/>
              </w:rPr>
              <w:t>12 розділу V</w:t>
            </w:r>
            <w:r w:rsidR="00B25D5C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, 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стаття </w:t>
            </w:r>
            <w:r w:rsidR="00375791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122</w:t>
            </w:r>
            <w:r w:rsidR="00375791" w:rsidRPr="0035299C">
              <w:rPr>
                <w:rFonts w:ascii="Times New Roman" w:eastAsia="Calibri" w:hAnsi="Times New Roman" w:cs="Times New Roman"/>
                <w:spacing w:val="-6"/>
              </w:rPr>
              <w:t xml:space="preserve"> глави 20 розділу V</w:t>
            </w:r>
            <w:r w:rsidR="00375791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, 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стаття </w:t>
            </w:r>
            <w:r w:rsidR="00375791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201</w:t>
            </w:r>
            <w:r w:rsidR="00375791" w:rsidRPr="0035299C">
              <w:rPr>
                <w:rFonts w:ascii="Times New Roman" w:eastAsia="Calibri" w:hAnsi="Times New Roman" w:cs="Times New Roman"/>
                <w:spacing w:val="-6"/>
              </w:rPr>
              <w:t xml:space="preserve"> глави 29 розділу VІ</w:t>
            </w:r>
            <w:r w:rsidR="00375791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,</w:t>
            </w:r>
            <w:r w:rsidR="006811AF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стаття </w:t>
            </w:r>
            <w:r w:rsidR="006811AF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249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vertAlign w:val="superscript"/>
                <w:lang w:eastAsia="uk-UA"/>
              </w:rPr>
              <w:t xml:space="preserve">1 </w:t>
            </w:r>
            <w:r w:rsidR="006811AF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глави 39 розділу VIII </w:t>
            </w:r>
            <w:hyperlink r:id="rId16" w:history="1">
              <w:r w:rsidR="006811AF" w:rsidRPr="0035299C">
                <w:rPr>
                  <w:rFonts w:ascii="Times New Roman" w:eastAsia="Times New Roman" w:hAnsi="Times New Roman" w:cs="Times New Roman"/>
                  <w:spacing w:val="-6"/>
                  <w:lang w:eastAsia="uk-UA"/>
                </w:rPr>
                <w:t>Митного кодексу України</w:t>
              </w:r>
            </w:hyperlink>
            <w:r w:rsidR="006811AF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);</w:t>
            </w:r>
          </w:p>
          <w:p w:rsidR="00E5475A" w:rsidRPr="0035299C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pacing w:val="-6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uk-UA"/>
              </w:rPr>
              <w:t>UA13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–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val="ru-RU" w:eastAsia="uk-UA"/>
              </w:rPr>
              <w:t xml:space="preserve"> 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оформлення митним органом спрощен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о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ї митної декларації (стаття 260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vertAlign w:val="superscript"/>
                <w:lang w:eastAsia="uk-UA"/>
              </w:rPr>
              <w:t>1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глави 40 розділу VIII </w:t>
            </w:r>
            <w:hyperlink r:id="rId17" w:history="1">
              <w:r w:rsidRPr="0035299C">
                <w:rPr>
                  <w:rFonts w:ascii="Times New Roman" w:eastAsia="Times New Roman" w:hAnsi="Times New Roman" w:cs="Times New Roman"/>
                  <w:spacing w:val="-6"/>
                  <w:lang w:eastAsia="uk-UA"/>
                </w:rPr>
                <w:t>Митного кодексу України</w:t>
              </w:r>
            </w:hyperlink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);</w:t>
            </w:r>
          </w:p>
          <w:p w:rsidR="00AD2E53" w:rsidRPr="00DB6BA4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uk-UA"/>
              </w:rPr>
              <w:t xml:space="preserve">UA14 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–</w:t>
            </w:r>
            <w:r w:rsidR="00D5410A" w:rsidRPr="0035299C">
              <w:rPr>
                <w:rFonts w:ascii="Times New Roman" w:eastAsia="Times New Roman" w:hAnsi="Times New Roman" w:cs="Times New Roman"/>
                <w:spacing w:val="-6"/>
                <w:lang w:val="ru-RU" w:eastAsia="uk-UA"/>
              </w:rPr>
              <w:t xml:space="preserve"> 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кінц</w:t>
            </w:r>
            <w:r w:rsidR="00AD2E53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еве використання товарів (статт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я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73</w:t>
            </w:r>
            <w:r w:rsidR="00D10D0D" w:rsidRPr="0035299C">
              <w:rPr>
                <w:rFonts w:ascii="Times New Roman" w:eastAsia="Times New Roman" w:hAnsi="Times New Roman" w:cs="Times New Roman"/>
                <w:spacing w:val="-6"/>
                <w:vertAlign w:val="superscript"/>
                <w:lang w:eastAsia="uk-UA"/>
              </w:rPr>
              <w:t>6</w:t>
            </w:r>
            <w:r w:rsidR="00D10D0D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</w:t>
            </w:r>
            <w:r w:rsidR="00D10D0D" w:rsidRPr="0035299C">
              <w:rPr>
                <w:rFonts w:ascii="Times New Roman" w:eastAsia="Calibri" w:hAnsi="Times New Roman" w:cs="Times New Roman"/>
                <w:spacing w:val="-6"/>
              </w:rPr>
              <w:t xml:space="preserve">глави 12, </w:t>
            </w:r>
            <w:r w:rsidR="00E866B4" w:rsidRPr="0035299C">
              <w:rPr>
                <w:rFonts w:ascii="Times New Roman" w:eastAsia="Calibri" w:hAnsi="Times New Roman" w:cs="Times New Roman"/>
                <w:spacing w:val="-6"/>
              </w:rPr>
              <w:t xml:space="preserve">статті 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75</w:t>
            </w:r>
            <w:r w:rsidR="00E866B4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, 76</w:t>
            </w:r>
            <w:r w:rsidR="00AD2E53" w:rsidRPr="0035299C">
              <w:rPr>
                <w:rFonts w:ascii="Times New Roman" w:eastAsia="Times New Roman" w:hAnsi="Times New Roman" w:cs="Times New Roman"/>
                <w:spacing w:val="-6"/>
                <w:vertAlign w:val="superscript"/>
                <w:lang w:eastAsia="uk-UA"/>
              </w:rPr>
              <w:t>1</w:t>
            </w:r>
            <w:r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 xml:space="preserve"> глави 13 розділу V </w:t>
            </w:r>
            <w:hyperlink r:id="rId18" w:history="1">
              <w:r w:rsidRPr="0035299C">
                <w:rPr>
                  <w:rFonts w:ascii="Times New Roman" w:eastAsia="Times New Roman" w:hAnsi="Times New Roman" w:cs="Times New Roman"/>
                  <w:spacing w:val="-6"/>
                  <w:lang w:eastAsia="uk-UA"/>
                </w:rPr>
                <w:t>Митного кодексу України</w:t>
              </w:r>
            </w:hyperlink>
            <w:r w:rsidR="00BB0F16" w:rsidRPr="0035299C">
              <w:rPr>
                <w:rFonts w:ascii="Times New Roman" w:eastAsia="Times New Roman" w:hAnsi="Times New Roman" w:cs="Times New Roman"/>
                <w:spacing w:val="-6"/>
                <w:lang w:eastAsia="uk-UA"/>
              </w:rPr>
              <w:t>)</w:t>
            </w:r>
          </w:p>
        </w:tc>
      </w:tr>
      <w:tr w:rsidR="00DB6BA4" w:rsidRPr="00DB6BA4" w:rsidTr="00F471E8">
        <w:tc>
          <w:tcPr>
            <w:tcW w:w="264" w:type="pct"/>
            <w:hideMark/>
          </w:tcPr>
          <w:p w:rsidR="00E5475A" w:rsidRPr="00DB6BA4" w:rsidRDefault="00D2389E" w:rsidP="00E547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B6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lastRenderedPageBreak/>
              <w:t>II</w:t>
            </w:r>
          </w:p>
        </w:tc>
        <w:tc>
          <w:tcPr>
            <w:tcW w:w="4736" w:type="pct"/>
            <w:hideMark/>
          </w:tcPr>
          <w:p w:rsidR="00E5475A" w:rsidRPr="0035299C" w:rsidRDefault="00E5475A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Гарант протягом 30 днів, наступних за днем отримання вимоги про сплату митних платежів, </w:t>
            </w:r>
            <w:r w:rsidR="00530E8C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зобов’язується</w:t>
            </w:r>
            <w:r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перерахувати належну суму митних платежів до державного бюджету.</w:t>
            </w:r>
          </w:p>
          <w:p w:rsidR="00E5475A" w:rsidRPr="00DB6BA4" w:rsidRDefault="00424575" w:rsidP="005940A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Зобов’</w:t>
            </w:r>
            <w:r w:rsidR="00E5475A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язання гаранта за цією гарантією щодо товарів, поміщених у митний режим, або товарів, які</w:t>
            </w:r>
            <w:r w:rsid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 </w:t>
            </w:r>
            <w:r w:rsidR="00E5475A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перебувають під митним контролем на момент закінчення строку дії цієї гарантії чи на момент набрання чинності рішенням про відкликання або скасування реєстрації цієї гарантії, продовжують бути чинними та підлягають</w:t>
            </w:r>
            <w:r w:rsidR="00DB6BA4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</w:t>
            </w:r>
            <w:r w:rsidR="00E5475A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виконан</w:t>
            </w:r>
            <w:r w:rsidR="008D1A1E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н</w:t>
            </w:r>
            <w:r w:rsidR="00235288" w:rsidRPr="003529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ю</w:t>
            </w:r>
          </w:p>
        </w:tc>
      </w:tr>
      <w:tr w:rsidR="00DB6BA4" w:rsidRPr="00DB6BA4" w:rsidTr="00F471E8">
        <w:trPr>
          <w:trHeight w:val="1964"/>
        </w:trPr>
        <w:tc>
          <w:tcPr>
            <w:tcW w:w="264" w:type="pct"/>
            <w:hideMark/>
          </w:tcPr>
          <w:p w:rsidR="00E5475A" w:rsidRPr="00DB6BA4" w:rsidRDefault="00D2389E" w:rsidP="00E547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B6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III</w:t>
            </w:r>
          </w:p>
        </w:tc>
        <w:tc>
          <w:tcPr>
            <w:tcW w:w="4736" w:type="pct"/>
            <w:hideMark/>
          </w:tcPr>
          <w:p w:rsidR="00E5475A" w:rsidRPr="00DB6BA4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Гарантія діє від дня її видачі гарантом до ________________</w:t>
            </w:r>
            <w:r w:rsidR="008409BA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72C5C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</w:t>
            </w:r>
            <w:r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(дата)</w:t>
            </w:r>
          </w:p>
          <w:p w:rsidR="00E5475A" w:rsidRPr="00DB6BA4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Гарантія видана гарантом: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0"/>
              <w:gridCol w:w="2203"/>
              <w:gridCol w:w="5856"/>
            </w:tblGrid>
            <w:tr w:rsidR="00DB6BA4" w:rsidRPr="00DB6BA4" w:rsidTr="008409BA">
              <w:trPr>
                <w:tblCellSpacing w:w="22" w:type="dxa"/>
              </w:trPr>
              <w:tc>
                <w:tcPr>
                  <w:tcW w:w="950" w:type="pct"/>
                  <w:hideMark/>
                </w:tcPr>
                <w:p w:rsidR="00E5475A" w:rsidRPr="00DB6BA4" w:rsidRDefault="00E5475A" w:rsidP="005940A7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B6B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(дата)</w:t>
                  </w:r>
                </w:p>
              </w:tc>
              <w:tc>
                <w:tcPr>
                  <w:tcW w:w="1100" w:type="pct"/>
                  <w:hideMark/>
                </w:tcPr>
                <w:p w:rsidR="00E5475A" w:rsidRPr="00DB6BA4" w:rsidRDefault="00E5475A" w:rsidP="005940A7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B6B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(підпис)</w:t>
                  </w:r>
                </w:p>
              </w:tc>
              <w:tc>
                <w:tcPr>
                  <w:tcW w:w="2950" w:type="pct"/>
                  <w:hideMark/>
                </w:tcPr>
                <w:p w:rsidR="00E866B4" w:rsidRPr="00DB6BA4" w:rsidRDefault="00E5475A" w:rsidP="005940A7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</w:t>
                  </w: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B6BA4">
                    <w:rPr>
                      <w:rFonts w:ascii="Times New Roman" w:eastAsia="Times New Roman" w:hAnsi="Times New Roman" w:cs="Times New Roman"/>
                      <w:sz w:val="18"/>
                      <w:szCs w:val="28"/>
                      <w:lang w:eastAsia="uk-UA"/>
                    </w:rPr>
                    <w:t>(</w:t>
                  </w:r>
                  <w:r w:rsidR="00E866B4" w:rsidRPr="00DB6BA4">
                    <w:rPr>
                      <w:rFonts w:ascii="Times New Roman" w:hAnsi="Times New Roman" w:cs="Times New Roman"/>
                      <w:sz w:val="18"/>
                      <w:szCs w:val="28"/>
                    </w:rPr>
                    <w:t>прізвище (за наявності), ім’я, по батькові (за наявності)</w:t>
                  </w:r>
                  <w:r w:rsidR="00E866B4" w:rsidRPr="00DB6BA4">
                    <w:rPr>
                      <w:sz w:val="14"/>
                    </w:rPr>
                    <w:t xml:space="preserve"> </w:t>
                  </w:r>
                  <w:r w:rsidR="00E866B4" w:rsidRPr="00DB6BA4">
                    <w:rPr>
                      <w:sz w:val="14"/>
                    </w:rPr>
                    <w:br/>
                  </w:r>
                  <w:r w:rsidRPr="00DB6BA4">
                    <w:rPr>
                      <w:rFonts w:ascii="Times New Roman" w:eastAsia="Times New Roman" w:hAnsi="Times New Roman" w:cs="Times New Roman"/>
                      <w:sz w:val="18"/>
                      <w:szCs w:val="28"/>
                      <w:lang w:eastAsia="uk-UA"/>
                    </w:rPr>
                    <w:t>уповноваженої особи гаранта)</w:t>
                  </w:r>
                </w:p>
              </w:tc>
            </w:tr>
          </w:tbl>
          <w:p w:rsidR="00E5475A" w:rsidRPr="00DB6BA4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B6BA4" w:rsidRPr="00DB6BA4" w:rsidTr="00F471E8">
        <w:tc>
          <w:tcPr>
            <w:tcW w:w="264" w:type="pct"/>
            <w:hideMark/>
          </w:tcPr>
          <w:p w:rsidR="00E5475A" w:rsidRPr="00DB6BA4" w:rsidRDefault="00D2389E" w:rsidP="00E547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B6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IV</w:t>
            </w:r>
          </w:p>
        </w:tc>
        <w:tc>
          <w:tcPr>
            <w:tcW w:w="4736" w:type="pct"/>
            <w:hideMark/>
          </w:tcPr>
          <w:p w:rsidR="00E5475A" w:rsidRPr="00DB6BA4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</w:pP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Гарантію зареєстровано митним органом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772C5C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772C5C"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F56A04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          </w:t>
            </w:r>
            <w:r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(найменування та код митного органу)</w:t>
            </w:r>
            <w:r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br/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номером ____________________________________________</w:t>
            </w:r>
            <w:r w:rsidRPr="00DB6B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F56A04"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               </w:t>
            </w:r>
            <w:r w:rsidRPr="00DB6B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(реєстраційний номер гарантії)</w:t>
            </w:r>
          </w:p>
          <w:tbl>
            <w:tblPr>
              <w:tblW w:w="5000" w:type="pct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2105"/>
              <w:gridCol w:w="6052"/>
            </w:tblGrid>
            <w:tr w:rsidR="00DB6BA4" w:rsidRPr="00DB6BA4" w:rsidTr="008409BA">
              <w:trPr>
                <w:tblCellSpacing w:w="22" w:type="dxa"/>
              </w:trPr>
              <w:tc>
                <w:tcPr>
                  <w:tcW w:w="900" w:type="pct"/>
                  <w:hideMark/>
                </w:tcPr>
                <w:p w:rsidR="00E5475A" w:rsidRPr="00DB6BA4" w:rsidRDefault="00E5475A" w:rsidP="005940A7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B6B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(дата)</w:t>
                  </w:r>
                </w:p>
              </w:tc>
              <w:tc>
                <w:tcPr>
                  <w:tcW w:w="1050" w:type="pct"/>
                  <w:hideMark/>
                </w:tcPr>
                <w:p w:rsidR="00E5475A" w:rsidRPr="00DB6BA4" w:rsidRDefault="00E5475A" w:rsidP="005940A7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DB6B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(підпис)</w:t>
                  </w:r>
                </w:p>
              </w:tc>
              <w:tc>
                <w:tcPr>
                  <w:tcW w:w="3050" w:type="pct"/>
                  <w:hideMark/>
                </w:tcPr>
                <w:p w:rsidR="00E5475A" w:rsidRPr="00DB6BA4" w:rsidRDefault="00E5475A" w:rsidP="005940A7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</w:t>
                  </w:r>
                  <w:r w:rsidRPr="00DB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D77788" w:rsidRPr="00DB6B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(власне ім’</w:t>
                  </w:r>
                  <w:r w:rsidRPr="00DB6B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я, прізвище посадової особи митного органу)</w:t>
                  </w:r>
                </w:p>
              </w:tc>
            </w:tr>
          </w:tbl>
          <w:p w:rsidR="00E5475A" w:rsidRPr="00DB6BA4" w:rsidRDefault="00E5475A" w:rsidP="005940A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54DD" w:rsidRPr="00DB6BA4" w:rsidTr="00F471E8">
        <w:tc>
          <w:tcPr>
            <w:tcW w:w="5000" w:type="pct"/>
            <w:gridSpan w:val="2"/>
            <w:hideMark/>
          </w:tcPr>
          <w:p w:rsidR="000254DD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Пояснення до форми бланка загальної гарантії</w:t>
            </w:r>
          </w:p>
          <w:p w:rsidR="000254DD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Розділи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III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цієї гарантії заповнює гарант.</w:t>
            </w:r>
          </w:p>
          <w:p w:rsidR="000254DD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цієї гарантії заповнює митний орган.</w:t>
            </w:r>
          </w:p>
          <w:p w:rsidR="000254DD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вносяться українською мовою, за винятком випадків, якщо оригінальне написання власного імені, прізвища (за наявності)</w:t>
            </w:r>
            <w:r w:rsidRPr="00F471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осіб, найменувань і адрес підприємств виконується іноземною мовою з латинським алфавітом. Такі відомості зазначаються латинськими літерами.</w:t>
            </w:r>
          </w:p>
          <w:p w:rsidR="00836A6B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 митних процедур вносяться через кому. Використання тире, дефісів та інших розділових знаків заборонено.</w:t>
            </w:r>
          </w:p>
          <w:p w:rsidR="000254DD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  <w:r w:rsidR="00352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Дати вносяться у форматі:</w:t>
            </w:r>
          </w:p>
          <w:p w:rsidR="000254DD" w:rsidRPr="000254DD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ДД.ММ.РРРР, де:</w:t>
            </w:r>
          </w:p>
          <w:p w:rsidR="003D6FF5" w:rsidRPr="00DB6BA4" w:rsidRDefault="000254DD" w:rsidP="0035299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ДД –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день; ММ –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місяць; РРРР –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25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</w:tr>
    </w:tbl>
    <w:p w:rsidR="00FB2554" w:rsidRDefault="00FB2554" w:rsidP="00FB255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516D36" w:rsidRDefault="00516D36" w:rsidP="00FB255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516D36" w:rsidRPr="00516D36" w:rsidRDefault="00516D36" w:rsidP="00FB255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D27F4A" w:rsidRPr="00DB6BA4" w:rsidRDefault="00FB2554" w:rsidP="0035299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B6B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Директор Департаменту </w:t>
      </w:r>
      <w:r w:rsidR="003529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Pr="00DB6B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митної політики                  </w:t>
      </w:r>
      <w:r w:rsidR="001E0FDD" w:rsidRPr="00DB6B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</w:t>
      </w:r>
      <w:r w:rsidRPr="00DB6B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</w:t>
      </w:r>
      <w:r w:rsidR="00D77788" w:rsidRPr="00DB6B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</w:t>
      </w:r>
      <w:r w:rsidRPr="00DB6B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Олександр МОСКАЛЕНКО</w:t>
      </w:r>
    </w:p>
    <w:sectPr w:rsidR="00D27F4A" w:rsidRPr="00DB6BA4" w:rsidSect="00BD6850">
      <w:headerReference w:type="default" r:id="rId19"/>
      <w:pgSz w:w="11906" w:h="16838"/>
      <w:pgMar w:top="1134" w:right="1134" w:bottom="153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340" w:rsidRDefault="00C47340" w:rsidP="00BA1F2A">
      <w:pPr>
        <w:spacing w:after="0" w:line="240" w:lineRule="auto"/>
      </w:pPr>
      <w:r>
        <w:separator/>
      </w:r>
    </w:p>
  </w:endnote>
  <w:endnote w:type="continuationSeparator" w:id="0">
    <w:p w:rsidR="00C47340" w:rsidRDefault="00C47340" w:rsidP="00BA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340" w:rsidRDefault="00C47340" w:rsidP="00BA1F2A">
      <w:pPr>
        <w:spacing w:after="0" w:line="240" w:lineRule="auto"/>
      </w:pPr>
      <w:r>
        <w:separator/>
      </w:r>
    </w:p>
  </w:footnote>
  <w:footnote w:type="continuationSeparator" w:id="0">
    <w:p w:rsidR="00C47340" w:rsidRDefault="00C47340" w:rsidP="00BA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059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1F2A" w:rsidRPr="0035299C" w:rsidRDefault="00BA1F2A" w:rsidP="00BA1F2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29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9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29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70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29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5A"/>
    <w:rsid w:val="000254DD"/>
    <w:rsid w:val="000E14FE"/>
    <w:rsid w:val="0011067F"/>
    <w:rsid w:val="0012624B"/>
    <w:rsid w:val="00164976"/>
    <w:rsid w:val="0017498B"/>
    <w:rsid w:val="001B5E7D"/>
    <w:rsid w:val="001E0FDD"/>
    <w:rsid w:val="001E4BF4"/>
    <w:rsid w:val="001F217C"/>
    <w:rsid w:val="002048DA"/>
    <w:rsid w:val="00221FB7"/>
    <w:rsid w:val="00231963"/>
    <w:rsid w:val="00235288"/>
    <w:rsid w:val="00262E88"/>
    <w:rsid w:val="00296F98"/>
    <w:rsid w:val="002A7166"/>
    <w:rsid w:val="002A7F25"/>
    <w:rsid w:val="002B22F1"/>
    <w:rsid w:val="002B7026"/>
    <w:rsid w:val="003254CE"/>
    <w:rsid w:val="0035299C"/>
    <w:rsid w:val="00375791"/>
    <w:rsid w:val="0039789A"/>
    <w:rsid w:val="003A7A3A"/>
    <w:rsid w:val="003B2FDC"/>
    <w:rsid w:val="003D6FF5"/>
    <w:rsid w:val="00424575"/>
    <w:rsid w:val="0043636C"/>
    <w:rsid w:val="00452292"/>
    <w:rsid w:val="00457E2E"/>
    <w:rsid w:val="004709DF"/>
    <w:rsid w:val="00481292"/>
    <w:rsid w:val="004E5F10"/>
    <w:rsid w:val="00516D36"/>
    <w:rsid w:val="005229AC"/>
    <w:rsid w:val="00530E8C"/>
    <w:rsid w:val="00562E12"/>
    <w:rsid w:val="005940A7"/>
    <w:rsid w:val="005A316C"/>
    <w:rsid w:val="005A527D"/>
    <w:rsid w:val="005B4CB0"/>
    <w:rsid w:val="005B7DBA"/>
    <w:rsid w:val="00616269"/>
    <w:rsid w:val="006811AF"/>
    <w:rsid w:val="006E6DAA"/>
    <w:rsid w:val="00772C5C"/>
    <w:rsid w:val="0077659E"/>
    <w:rsid w:val="00795FB8"/>
    <w:rsid w:val="007B2224"/>
    <w:rsid w:val="00836A6B"/>
    <w:rsid w:val="008409BA"/>
    <w:rsid w:val="00867A33"/>
    <w:rsid w:val="00887923"/>
    <w:rsid w:val="008B233A"/>
    <w:rsid w:val="008D1A1E"/>
    <w:rsid w:val="008E422F"/>
    <w:rsid w:val="00947045"/>
    <w:rsid w:val="0097723E"/>
    <w:rsid w:val="009C7676"/>
    <w:rsid w:val="00A1575E"/>
    <w:rsid w:val="00A232CB"/>
    <w:rsid w:val="00AD2001"/>
    <w:rsid w:val="00AD2E53"/>
    <w:rsid w:val="00B25D5C"/>
    <w:rsid w:val="00B66C5D"/>
    <w:rsid w:val="00B967C9"/>
    <w:rsid w:val="00BA1F2A"/>
    <w:rsid w:val="00BA51B2"/>
    <w:rsid w:val="00BB0F16"/>
    <w:rsid w:val="00BD2A60"/>
    <w:rsid w:val="00BD6850"/>
    <w:rsid w:val="00BE19DD"/>
    <w:rsid w:val="00C24C32"/>
    <w:rsid w:val="00C47340"/>
    <w:rsid w:val="00C64974"/>
    <w:rsid w:val="00C756AA"/>
    <w:rsid w:val="00C92808"/>
    <w:rsid w:val="00CA5F2D"/>
    <w:rsid w:val="00CB7794"/>
    <w:rsid w:val="00D0431B"/>
    <w:rsid w:val="00D10D0D"/>
    <w:rsid w:val="00D2389E"/>
    <w:rsid w:val="00D27F4A"/>
    <w:rsid w:val="00D46E4A"/>
    <w:rsid w:val="00D5410A"/>
    <w:rsid w:val="00D77788"/>
    <w:rsid w:val="00D97DA0"/>
    <w:rsid w:val="00DA2709"/>
    <w:rsid w:val="00DB1033"/>
    <w:rsid w:val="00DB4C75"/>
    <w:rsid w:val="00DB6BA4"/>
    <w:rsid w:val="00DC688B"/>
    <w:rsid w:val="00DC6B08"/>
    <w:rsid w:val="00DD06F2"/>
    <w:rsid w:val="00DD098C"/>
    <w:rsid w:val="00DF1825"/>
    <w:rsid w:val="00E02D46"/>
    <w:rsid w:val="00E5475A"/>
    <w:rsid w:val="00E866B4"/>
    <w:rsid w:val="00E9042C"/>
    <w:rsid w:val="00EA7F09"/>
    <w:rsid w:val="00F3195B"/>
    <w:rsid w:val="00F471E8"/>
    <w:rsid w:val="00F56A04"/>
    <w:rsid w:val="00F56FB3"/>
    <w:rsid w:val="00FB2554"/>
    <w:rsid w:val="00FD6E78"/>
    <w:rsid w:val="00FE7470"/>
    <w:rsid w:val="00FF2DF3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5BBE"/>
  <w15:chartTrackingRefBased/>
  <w15:docId w15:val="{08E2ADB6-8036-431A-A2E8-4FEF83E9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75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475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C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6B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1F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A1F2A"/>
  </w:style>
  <w:style w:type="paragraph" w:styleId="a9">
    <w:name w:val="footer"/>
    <w:basedOn w:val="a"/>
    <w:link w:val="aa"/>
    <w:uiPriority w:val="99"/>
    <w:unhideWhenUsed/>
    <w:rsid w:val="00BA1F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A1F2A"/>
  </w:style>
  <w:style w:type="table" w:styleId="ab">
    <w:name w:val="Table Grid"/>
    <w:basedOn w:val="a1"/>
    <w:uiPriority w:val="39"/>
    <w:rsid w:val="0084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82179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sndoc://OpenDoc?DocID=40653" TargetMode="External"/><Relationship Id="rId13" Type="http://schemas.openxmlformats.org/officeDocument/2006/relationships/hyperlink" Target="csndoc://OpenDoc?DocID=40653" TargetMode="External"/><Relationship Id="rId18" Type="http://schemas.openxmlformats.org/officeDocument/2006/relationships/hyperlink" Target="csndoc://OpenDoc?DocID=4065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sndoc://OpenDoc?DocID=40653" TargetMode="External"/><Relationship Id="rId12" Type="http://schemas.openxmlformats.org/officeDocument/2006/relationships/hyperlink" Target="csndoc://OpenDoc?DocID=40653" TargetMode="External"/><Relationship Id="rId17" Type="http://schemas.openxmlformats.org/officeDocument/2006/relationships/hyperlink" Target="csndoc://OpenDoc?DocID=40653" TargetMode="External"/><Relationship Id="rId2" Type="http://schemas.openxmlformats.org/officeDocument/2006/relationships/styles" Target="styles.xml"/><Relationship Id="rId16" Type="http://schemas.openxmlformats.org/officeDocument/2006/relationships/hyperlink" Target="csndoc://OpenDoc?DocID=406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sndoc://OpenDoc?DocID=40653" TargetMode="External"/><Relationship Id="rId5" Type="http://schemas.openxmlformats.org/officeDocument/2006/relationships/footnotes" Target="footnotes.xml"/><Relationship Id="rId15" Type="http://schemas.openxmlformats.org/officeDocument/2006/relationships/hyperlink" Target="csndoc://OpenDoc?DocID=40653" TargetMode="External"/><Relationship Id="rId10" Type="http://schemas.openxmlformats.org/officeDocument/2006/relationships/hyperlink" Target="csndoc://OpenDoc?DocID=4065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sndoc://OpenDoc?DocID=40653" TargetMode="External"/><Relationship Id="rId14" Type="http://schemas.openxmlformats.org/officeDocument/2006/relationships/hyperlink" Target="csndoc://OpenDoc?DocID=40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FAA2-A483-4AE6-9428-3F9E10C5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4544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ГРАБОВА Валентина Василівна</cp:lastModifiedBy>
  <cp:revision>86</cp:revision>
  <cp:lastPrinted>2024-12-26T17:13:00Z</cp:lastPrinted>
  <dcterms:created xsi:type="dcterms:W3CDTF">2024-12-06T10:51:00Z</dcterms:created>
  <dcterms:modified xsi:type="dcterms:W3CDTF">2025-05-27T07:35:00Z</dcterms:modified>
</cp:coreProperties>
</file>