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Pr="00941D8A" w:rsidRDefault="009725C8" w:rsidP="009725C8">
      <w:pPr>
        <w:ind w:left="284" w:firstLine="567"/>
        <w:jc w:val="center"/>
        <w:rPr>
          <w:b/>
        </w:rPr>
      </w:pPr>
      <w:r w:rsidRPr="00941D8A">
        <w:rPr>
          <w:b/>
        </w:rPr>
        <w:t xml:space="preserve">Інформація та результати роботи підрозділів з питань запобігання та виявлення корупції Держмитслужби у </w:t>
      </w:r>
      <w:r w:rsidR="009860BF" w:rsidRPr="00941D8A">
        <w:rPr>
          <w:b/>
        </w:rPr>
        <w:t>січні</w:t>
      </w:r>
      <w:r w:rsidR="006646BF" w:rsidRPr="00941D8A">
        <w:rPr>
          <w:b/>
        </w:rPr>
        <w:t>-</w:t>
      </w:r>
      <w:r w:rsidR="00C505BE" w:rsidRPr="00941D8A">
        <w:rPr>
          <w:b/>
        </w:rPr>
        <w:t>липні</w:t>
      </w:r>
      <w:r w:rsidR="009860BF" w:rsidRPr="00941D8A">
        <w:rPr>
          <w:b/>
        </w:rPr>
        <w:t xml:space="preserve"> </w:t>
      </w:r>
      <w:r w:rsidRPr="00941D8A">
        <w:rPr>
          <w:b/>
        </w:rPr>
        <w:t>202</w:t>
      </w:r>
      <w:r w:rsidR="009860BF" w:rsidRPr="00941D8A">
        <w:rPr>
          <w:b/>
        </w:rPr>
        <w:t>5</w:t>
      </w:r>
      <w:r w:rsidRPr="00941D8A">
        <w:rPr>
          <w:b/>
        </w:rPr>
        <w:t xml:space="preserve"> </w:t>
      </w:r>
      <w:r w:rsidR="009860BF" w:rsidRPr="00941D8A">
        <w:rPr>
          <w:b/>
        </w:rPr>
        <w:t>року</w:t>
      </w:r>
    </w:p>
    <w:p w:rsidR="007225B5" w:rsidRDefault="007225B5" w:rsidP="00826796">
      <w:pPr>
        <w:jc w:val="both"/>
      </w:pPr>
    </w:p>
    <w:p w:rsidR="009725C8" w:rsidRDefault="009725C8" w:rsidP="009725C8">
      <w:pPr>
        <w:ind w:firstLine="567"/>
        <w:jc w:val="both"/>
      </w:pPr>
      <w:r w:rsidRPr="00150332">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w:t>
      </w:r>
      <w:r w:rsidR="00C502EF" w:rsidRPr="00150332">
        <w:t xml:space="preserve">уповноваженого підрозділу з питань запобігання корупції Держмитслужби </w:t>
      </w:r>
      <w:r w:rsidRPr="00150332">
        <w:t xml:space="preserve">(далі – </w:t>
      </w:r>
      <w:r w:rsidR="00C502EF" w:rsidRPr="00150332">
        <w:t>Уповноважений підрозділ</w:t>
      </w:r>
      <w:r w:rsidR="003239D4" w:rsidRPr="00150332">
        <w:t xml:space="preserve"> Держмитслужби</w:t>
      </w:r>
      <w:r w:rsidRPr="00150332">
        <w:t xml:space="preserve">)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F1084E" w:rsidRPr="00F1084E" w:rsidRDefault="00F1084E" w:rsidP="00F1084E">
      <w:pPr>
        <w:ind w:firstLine="567"/>
        <w:jc w:val="both"/>
      </w:pPr>
      <w:r w:rsidRPr="00F1084E">
        <w:t xml:space="preserve">Розроблено оновлений Порядок організації роботи з повідомленнями про корупційні або пов’язані з корупцією правопорушення в апараті Держмитслужби та її територіальних органах, який затверджений наказом Держмитслужби </w:t>
      </w:r>
      <w:r w:rsidR="00FE0F73">
        <w:br/>
      </w:r>
      <w:r w:rsidRPr="00F1084E">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aбo пов’язаних з корупцією правопорушень, інших порушень Закону України «Про запобігання корупції», яке затверджено наказом Держмитслужби від 22.05.2025 </w:t>
      </w:r>
      <w:r w:rsidR="007B0185">
        <w:br/>
      </w:r>
      <w:r w:rsidRPr="00F1084E">
        <w:t>№ 462; розроблено оновлену Методологію систематичного виявлення та проведення аналізу корупційних правопорушеньта правопорушень, пов</w:t>
      </w:r>
      <w:r w:rsidRPr="00F1084E">
        <w:rPr>
          <w:lang w:val="en-US"/>
        </w:rPr>
        <w:t>’</w:t>
      </w:r>
      <w:r w:rsidRPr="00F1084E">
        <w:t>язаних з корупцієюу Державній митній службі Українита її територіальних органах, яка затверджена наказом Держмитслужби від 20.06.2025 № 555.</w:t>
      </w:r>
    </w:p>
    <w:p w:rsidR="00F1084E" w:rsidRPr="00F1084E" w:rsidRDefault="00F1084E" w:rsidP="00F1084E">
      <w:pPr>
        <w:ind w:firstLine="567"/>
        <w:jc w:val="both"/>
      </w:pPr>
      <w:r w:rsidRPr="00F1084E">
        <w:t>Проведено моніторинг та наказом Держмитслужби від 21.03.2025 № 269 внесено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затверджений наказом Держмитслужби від 02.09.2021</w:t>
      </w:r>
      <w:r w:rsidRPr="00F1084E">
        <w:rPr>
          <w:lang w:val="en-US"/>
        </w:rPr>
        <w:t xml:space="preserve"> </w:t>
      </w:r>
      <w:r w:rsidRPr="00F1084E">
        <w:t>№</w:t>
      </w:r>
      <w:r w:rsidRPr="00F1084E">
        <w:rPr>
          <w:lang w:val="en-US"/>
        </w:rPr>
        <w:t xml:space="preserve"> 6</w:t>
      </w:r>
      <w:r w:rsidRPr="00F1084E">
        <w:t>68.</w:t>
      </w:r>
    </w:p>
    <w:p w:rsidR="00F1084E" w:rsidRPr="00150332" w:rsidRDefault="00F1084E" w:rsidP="009725C8">
      <w:pPr>
        <w:ind w:firstLine="567"/>
        <w:jc w:val="both"/>
      </w:pPr>
    </w:p>
    <w:p w:rsidR="009860BF" w:rsidRPr="00FB2F13" w:rsidRDefault="00334CCC" w:rsidP="009860BF">
      <w:pPr>
        <w:ind w:firstLine="567"/>
        <w:jc w:val="both"/>
      </w:pPr>
      <w:r>
        <w:t>П</w:t>
      </w:r>
      <w:r w:rsidR="009725C8" w:rsidRPr="00150332">
        <w:t>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w:t>
      </w:r>
      <w:r w:rsidR="00415F89">
        <w:t>и або місцевого самоврядування.</w:t>
      </w:r>
      <w:r w:rsidR="00415F89" w:rsidRPr="00415F89">
        <w:t xml:space="preserve"> </w:t>
      </w:r>
      <w:r w:rsidR="009725C8" w:rsidRPr="00150332">
        <w:t xml:space="preserve">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w:t>
      </w:r>
      <w:r w:rsidR="00FB2F13">
        <w:t xml:space="preserve">Також </w:t>
      </w:r>
      <w:r w:rsidR="00F209E6">
        <w:t xml:space="preserve">до територіальних органів Держмитслужби та структурних підрозділів апарату Держмитслужби </w:t>
      </w:r>
      <w:r w:rsidR="00FB2F13">
        <w:t>надіслано низку роз</w:t>
      </w:r>
      <w:r w:rsidR="00FB2F13">
        <w:rPr>
          <w:lang w:val="en-US"/>
        </w:rPr>
        <w:t>’</w:t>
      </w:r>
      <w:r w:rsidR="00FB2F13">
        <w:t>яснень з питань дотримання</w:t>
      </w:r>
      <w:r w:rsidR="00F209E6">
        <w:t xml:space="preserve"> вимог</w:t>
      </w:r>
      <w:r w:rsidR="00FB2F13">
        <w:t xml:space="preserve"> фінансового контролю</w:t>
      </w:r>
      <w:r w:rsidR="00F209E6">
        <w:t>.</w:t>
      </w:r>
    </w:p>
    <w:p w:rsidR="00F46A33" w:rsidRDefault="00F209E6" w:rsidP="00F46A33">
      <w:pPr>
        <w:ind w:firstLine="567"/>
        <w:jc w:val="both"/>
        <w:rPr>
          <w:lang w:bidi="uk-UA"/>
        </w:rPr>
      </w:pPr>
      <w:r>
        <w:rPr>
          <w:lang w:bidi="uk-UA"/>
        </w:rPr>
        <w:t>В</w:t>
      </w:r>
      <w:r w:rsidR="00F46A33" w:rsidRPr="00150332">
        <w:rPr>
          <w:lang w:bidi="uk-UA"/>
        </w:rPr>
        <w:t xml:space="preserve"> межах заходів, спрямованих саме на запобігання корупції</w:t>
      </w:r>
      <w:r>
        <w:rPr>
          <w:lang w:bidi="uk-UA"/>
        </w:rPr>
        <w:t>,</w:t>
      </w:r>
      <w:r w:rsidR="00F46A33" w:rsidRPr="00150332">
        <w:rPr>
          <w:lang w:bidi="uk-UA"/>
        </w:rPr>
        <w:t xml:space="preserve"> з метою недопущення колишніми посадовими особами Держмитслужби правопорушень, пов</w:t>
      </w:r>
      <w:r w:rsidR="00F46A33" w:rsidRPr="00150332">
        <w:rPr>
          <w:lang w:val="en-US"/>
        </w:rPr>
        <w:t>’</w:t>
      </w:r>
      <w:r w:rsidR="00F46A33" w:rsidRPr="00150332">
        <w:rPr>
          <w:lang w:bidi="uk-UA"/>
        </w:rPr>
        <w:t>язаних з корупцією за неподання чи несвоєчасне подання декларації</w:t>
      </w:r>
      <w:r w:rsidR="00415F89" w:rsidRPr="00415F89">
        <w:t xml:space="preserve"> </w:t>
      </w:r>
      <w:r w:rsidR="00415F89" w:rsidRPr="00415F89">
        <w:rPr>
          <w:lang w:bidi="uk-UA"/>
        </w:rPr>
        <w:t>ос</w:t>
      </w:r>
      <w:r w:rsidR="00415F89">
        <w:rPr>
          <w:lang w:bidi="uk-UA"/>
        </w:rPr>
        <w:t>оби</w:t>
      </w:r>
      <w:r w:rsidR="00415F89" w:rsidRPr="00415F89">
        <w:rPr>
          <w:lang w:bidi="uk-UA"/>
        </w:rPr>
        <w:t>, уповноважен</w:t>
      </w:r>
      <w:r w:rsidR="00415F89">
        <w:rPr>
          <w:lang w:bidi="uk-UA"/>
        </w:rPr>
        <w:t>ої</w:t>
      </w:r>
      <w:r w:rsidR="00415F89" w:rsidRPr="00415F89">
        <w:rPr>
          <w:lang w:bidi="uk-UA"/>
        </w:rPr>
        <w:t xml:space="preserve"> на виконання функцій держави або місцевого самоврядування</w:t>
      </w:r>
      <w:r w:rsidR="00F46A33" w:rsidRPr="00150332">
        <w:rPr>
          <w:lang w:bidi="uk-UA"/>
        </w:rPr>
        <w:t>, на електронні скриньки, вказані в особових справах, надсилались нагадування про необхідність подання декларацій.</w:t>
      </w:r>
    </w:p>
    <w:p w:rsidR="00856E25" w:rsidRPr="00856E25" w:rsidRDefault="00856E25" w:rsidP="00856E25">
      <w:pPr>
        <w:ind w:firstLine="567"/>
        <w:jc w:val="both"/>
        <w:rPr>
          <w:lang w:bidi="uk-UA"/>
        </w:rPr>
      </w:pPr>
      <w:r w:rsidRPr="00856E25">
        <w:rPr>
          <w:lang w:bidi="uk-UA"/>
        </w:rPr>
        <w:lastRenderedPageBreak/>
        <w:t>Також на постійній основі здійснюється перевірка своєчасності подання суб’єктами декларування, які припинили діяльність, пов</w:t>
      </w:r>
      <w:r w:rsidRPr="00856E25">
        <w:rPr>
          <w:lang w:val="en-US" w:bidi="uk-UA"/>
        </w:rPr>
        <w:t>’</w:t>
      </w:r>
      <w:r w:rsidRPr="00856E25">
        <w:rPr>
          <w:lang w:bidi="uk-UA"/>
        </w:rPr>
        <w:t>язану з виконанням функцій держави або місцевого самоврядування, електронних декларацій за період, не охоплений раніше поданими деклараціями.</w:t>
      </w:r>
    </w:p>
    <w:p w:rsidR="00C0072B" w:rsidRPr="00856E25" w:rsidRDefault="00856E25" w:rsidP="00C0072B">
      <w:pPr>
        <w:ind w:firstLine="567"/>
        <w:jc w:val="both"/>
        <w:rPr>
          <w:lang w:bidi="uk-UA"/>
        </w:rPr>
      </w:pPr>
      <w:r w:rsidRPr="00502AD3">
        <w:rPr>
          <w:lang w:bidi="uk-UA"/>
        </w:rPr>
        <w:t>У звітному періоді</w:t>
      </w:r>
      <w:r w:rsidR="00C0072B" w:rsidRPr="00502AD3">
        <w:rPr>
          <w:lang w:bidi="uk-UA"/>
        </w:rPr>
        <w:t>,</w:t>
      </w:r>
      <w:r w:rsidRPr="00502AD3">
        <w:rPr>
          <w:lang w:bidi="uk-UA"/>
        </w:rPr>
        <w:t xml:space="preserve"> у тому числі</w:t>
      </w:r>
      <w:r w:rsidR="00C0072B" w:rsidRPr="00502AD3">
        <w:rPr>
          <w:lang w:bidi="uk-UA"/>
        </w:rPr>
        <w:t xml:space="preserve">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w:t>
      </w:r>
      <w:r w:rsidR="00C505BE">
        <w:rPr>
          <w:lang w:bidi="uk-UA"/>
        </w:rPr>
        <w:t>100</w:t>
      </w:r>
      <w:r w:rsidR="00C0072B" w:rsidRPr="00502AD3">
        <w:rPr>
          <w:lang w:bidi="uk-UA"/>
        </w:rPr>
        <w:t xml:space="preserve"> повідомлен</w:t>
      </w:r>
      <w:r w:rsidR="00833EAB" w:rsidRPr="00502AD3">
        <w:rPr>
          <w:lang w:bidi="uk-UA"/>
        </w:rPr>
        <w:t>ь</w:t>
      </w:r>
      <w:r w:rsidR="00C0072B" w:rsidRPr="00502AD3">
        <w:rPr>
          <w:lang w:bidi="uk-UA"/>
        </w:rPr>
        <w:t xml:space="preserve"> про факти неподання чи несвоєчасного подання декларацій. </w:t>
      </w:r>
      <w:r w:rsidR="005408DC" w:rsidRPr="00502AD3">
        <w:rPr>
          <w:lang w:bidi="uk-UA"/>
        </w:rPr>
        <w:t>Чотирьох</w:t>
      </w:r>
      <w:r w:rsidR="00FA02C5" w:rsidRPr="00502AD3">
        <w:rPr>
          <w:lang w:bidi="uk-UA"/>
        </w:rPr>
        <w:t xml:space="preserve"> посадових осіб притягнуто до адміністративної відповідальності</w:t>
      </w:r>
      <w:r w:rsidR="00E62E4E" w:rsidRPr="00502AD3">
        <w:rPr>
          <w:lang w:bidi="uk-UA"/>
        </w:rPr>
        <w:t xml:space="preserve"> (1 – за повідомленням,</w:t>
      </w:r>
      <w:r w:rsidR="0014513C">
        <w:rPr>
          <w:lang w:bidi="uk-UA"/>
        </w:rPr>
        <w:t xml:space="preserve"> </w:t>
      </w:r>
      <w:r w:rsidR="00E62E4E" w:rsidRPr="00502AD3">
        <w:rPr>
          <w:lang w:bidi="uk-UA"/>
        </w:rPr>
        <w:t>направлен</w:t>
      </w:r>
      <w:r w:rsidR="0014513C">
        <w:rPr>
          <w:lang w:bidi="uk-UA"/>
        </w:rPr>
        <w:t>им</w:t>
      </w:r>
      <w:r w:rsidR="00E62E4E" w:rsidRPr="00502AD3">
        <w:rPr>
          <w:lang w:bidi="uk-UA"/>
        </w:rPr>
        <w:t xml:space="preserve"> у 2024 році) </w:t>
      </w:r>
      <w:r w:rsidR="00FA02C5" w:rsidRPr="00502AD3">
        <w:rPr>
          <w:lang w:bidi="uk-UA"/>
        </w:rPr>
        <w:t xml:space="preserve">та 1 посадову особу внесено до </w:t>
      </w:r>
      <w:r w:rsidR="00FA02C5" w:rsidRPr="00502AD3">
        <w:t>Єдиного державного реєстру осіб, які вчинили корупційні або пов</w:t>
      </w:r>
      <w:r w:rsidR="00FA02C5" w:rsidRPr="00502AD3">
        <w:rPr>
          <w:lang w:val="en-US"/>
        </w:rPr>
        <w:t>’</w:t>
      </w:r>
      <w:r w:rsidR="00FA02C5" w:rsidRPr="00502AD3">
        <w:t>язані з корупцією правопорушення</w:t>
      </w:r>
      <w:r w:rsidR="00C0072B" w:rsidRPr="00502AD3">
        <w:rPr>
          <w:lang w:bidi="uk-UA"/>
        </w:rPr>
        <w:t>.</w:t>
      </w:r>
    </w:p>
    <w:p w:rsidR="006E485F" w:rsidRDefault="006E485F" w:rsidP="00F46A33">
      <w:pPr>
        <w:ind w:firstLine="567"/>
        <w:jc w:val="both"/>
        <w:rPr>
          <w:lang w:bidi="uk-UA"/>
        </w:rPr>
      </w:pPr>
    </w:p>
    <w:p w:rsidR="00A34804" w:rsidRDefault="00A34804" w:rsidP="00F46A33">
      <w:pPr>
        <w:ind w:firstLine="567"/>
        <w:jc w:val="both"/>
        <w:rPr>
          <w:lang w:bidi="uk-UA"/>
        </w:rPr>
      </w:pPr>
      <w:r>
        <w:rPr>
          <w:lang w:bidi="uk-UA"/>
        </w:rPr>
        <w:t xml:space="preserve">З метою підвищення </w:t>
      </w:r>
      <w:r w:rsidRPr="00A34804">
        <w:rPr>
          <w:lang w:bidi="uk-UA"/>
        </w:rPr>
        <w:t>прозорості та д</w:t>
      </w:r>
      <w:r>
        <w:rPr>
          <w:lang w:bidi="uk-UA"/>
        </w:rPr>
        <w:t>оброчесності у своїй діяльності, у лютому</w:t>
      </w:r>
      <w:r w:rsidR="00334CCC">
        <w:rPr>
          <w:lang w:bidi="uk-UA"/>
        </w:rPr>
        <w:t xml:space="preserve"> 40 уповноважених осіб </w:t>
      </w:r>
      <w:r w:rsidRPr="00A34804">
        <w:rPr>
          <w:lang w:bidi="uk-UA"/>
        </w:rPr>
        <w:t>з питань запобігання та виявлення корупції з усіх митниць пройшли навчання з антикорупційного законодавства, організоване Національним агентством з питань запобігання корупції.</w:t>
      </w:r>
    </w:p>
    <w:p w:rsidR="00A34804" w:rsidRDefault="00A34804" w:rsidP="00F46A33">
      <w:pPr>
        <w:ind w:firstLine="567"/>
        <w:jc w:val="both"/>
        <w:rPr>
          <w:lang w:bidi="uk-UA"/>
        </w:rPr>
      </w:pPr>
      <w:r w:rsidRPr="00A34804">
        <w:rPr>
          <w:lang w:bidi="uk-UA"/>
        </w:rPr>
        <w:t>Оскільки національне законодавство передбача</w:t>
      </w:r>
      <w:r w:rsidR="00334CCC">
        <w:rPr>
          <w:lang w:bidi="uk-UA"/>
        </w:rPr>
        <w:t xml:space="preserve">є нові функції для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w:t>
      </w:r>
      <w:r>
        <w:rPr>
          <w:lang w:bidi="uk-UA"/>
        </w:rPr>
        <w:t xml:space="preserve"> </w:t>
      </w:r>
      <w:r w:rsidRPr="00A34804">
        <w:rPr>
          <w:lang w:bidi="uk-UA"/>
        </w:rPr>
        <w:t>Також програма навчання охоплювала ключ</w:t>
      </w:r>
      <w:r w:rsidR="00334CCC">
        <w:rPr>
          <w:lang w:bidi="uk-UA"/>
        </w:rPr>
        <w:t xml:space="preserve">ові аспекти роботи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зокрема, процедуру перевірки декларацій та роботу з Єдиним порталом повідомлень викривачів. </w:t>
      </w:r>
    </w:p>
    <w:p w:rsidR="00150332" w:rsidRDefault="00150332" w:rsidP="00071ADD">
      <w:pPr>
        <w:ind w:firstLine="567"/>
        <w:jc w:val="both"/>
      </w:pPr>
    </w:p>
    <w:p w:rsidR="00856E25" w:rsidRPr="00856E25" w:rsidRDefault="00856E25" w:rsidP="00856E25">
      <w:pPr>
        <w:ind w:firstLine="567"/>
        <w:jc w:val="both"/>
      </w:pPr>
      <w:r w:rsidRPr="00770203">
        <w:rPr>
          <w:iCs/>
        </w:rPr>
        <w:t>У зв</w:t>
      </w:r>
      <w:r w:rsidRPr="00770203">
        <w:rPr>
          <w:iCs/>
          <w:lang w:val="en-US"/>
        </w:rPr>
        <w:t>’</w:t>
      </w:r>
      <w:r w:rsidRPr="00770203">
        <w:rPr>
          <w:iCs/>
        </w:rPr>
        <w:t>язку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w:t>
      </w:r>
      <w:r w:rsidR="00017695" w:rsidRPr="00770203">
        <w:rPr>
          <w:iCs/>
        </w:rPr>
        <w:t xml:space="preserve"> (далі – Постанова 487)</w:t>
      </w:r>
      <w:r w:rsidRPr="00770203">
        <w:rPr>
          <w:iCs/>
        </w:rPr>
        <w:t xml:space="preserve">, якою затверджено </w:t>
      </w:r>
      <w:r w:rsidRPr="00770203">
        <w:t xml:space="preserve">Порядок проведення перевірки на доброчесність та моніторингу способу життя посадових осіб митних органів та проєкт Декларації доброчесності, Управлінням </w:t>
      </w:r>
      <w:r w:rsidR="00017695" w:rsidRPr="00770203">
        <w:t>вживаються</w:t>
      </w:r>
      <w:r w:rsidRPr="00770203">
        <w:t xml:space="preserve"> заходи щодо систематичної перевірки на доброчесність посадових осіб митних органів, у тому ч</w:t>
      </w:r>
      <w:r w:rsidR="00415F89">
        <w:t xml:space="preserve">ислі із застосуванням поліграфа, надається консультаційна допомога </w:t>
      </w:r>
      <w:r w:rsidR="00415F89" w:rsidRPr="00415F89">
        <w:t>з питань, що пов’язані з порядком подання декларації доброчесності посадових осіб митних органів</w:t>
      </w:r>
      <w:r w:rsidR="00415F89">
        <w:t>.</w:t>
      </w:r>
      <w:r w:rsidR="00017695" w:rsidRPr="00770203">
        <w:t xml:space="preserve"> Так, з прийняттям Постанови 487, відповідно до Порядку подання декларації доброчесності посадових осіб митних органів, посадовими особами митних органів подано </w:t>
      </w:r>
      <w:r w:rsidR="0077057D" w:rsidRPr="00770203">
        <w:t xml:space="preserve">більше </w:t>
      </w:r>
      <w:r w:rsidR="00C505BE">
        <w:t>7</w:t>
      </w:r>
      <w:r w:rsidR="00770203" w:rsidRPr="00770203">
        <w:t>00</w:t>
      </w:r>
      <w:r w:rsidR="00017695" w:rsidRPr="00770203">
        <w:t xml:space="preserve"> декларацій.</w:t>
      </w:r>
      <w:r w:rsidR="00017695">
        <w:t xml:space="preserve"> </w:t>
      </w:r>
    </w:p>
    <w:p w:rsidR="00856E25" w:rsidRDefault="00856E25" w:rsidP="00071ADD">
      <w:pPr>
        <w:ind w:firstLine="567"/>
        <w:jc w:val="both"/>
      </w:pPr>
    </w:p>
    <w:p w:rsidR="007A366F" w:rsidRPr="007C0FBE" w:rsidRDefault="007A366F" w:rsidP="00071ADD">
      <w:pPr>
        <w:ind w:firstLine="567"/>
        <w:jc w:val="both"/>
      </w:pPr>
      <w:r w:rsidRPr="00150332">
        <w:t xml:space="preserve">За звітний період </w:t>
      </w:r>
      <w:r w:rsidR="003239D4" w:rsidRPr="00150332">
        <w:t>Уповноваженим підрозділом Держмитслужби</w:t>
      </w:r>
      <w:r w:rsidRPr="00150332">
        <w:t xml:space="preserve"> разом з уповноваженими підрозділами (уповноваженими особами) </w:t>
      </w:r>
      <w:r w:rsidR="0004430D" w:rsidRPr="00150332">
        <w:t>територіальних органів Держмитслужби</w:t>
      </w:r>
      <w:r w:rsidR="00334CCC">
        <w:t xml:space="preserve"> </w:t>
      </w:r>
      <w:r w:rsidRPr="00150332">
        <w:t xml:space="preserve">в межах компетенції, визначеної антикорупційним </w:t>
      </w:r>
      <w:r w:rsidRPr="00150332">
        <w:lastRenderedPageBreak/>
        <w:t xml:space="preserve">законодавством, розглянуто </w:t>
      </w:r>
      <w:r w:rsidR="00B02BCA">
        <w:t>76</w:t>
      </w:r>
      <w:r w:rsidR="002A45B2" w:rsidRPr="00150332">
        <w:t xml:space="preserve"> повідомлен</w:t>
      </w:r>
      <w:r w:rsidR="00450CD7">
        <w:t>ь</w:t>
      </w:r>
      <w:r w:rsidRPr="00150332">
        <w:t xml:space="preserve"> щодо можливих корупційних або пов’язаних з корупцією правопорушень з боку посадових осіб Держмитслужби та її територіальних органів.</w:t>
      </w:r>
      <w:r w:rsidRPr="007C0FBE">
        <w:t xml:space="preserve"> </w:t>
      </w:r>
    </w:p>
    <w:p w:rsidR="00A01D40" w:rsidRDefault="007A366F" w:rsidP="00A01D40">
      <w:pPr>
        <w:ind w:firstLine="567"/>
        <w:jc w:val="both"/>
      </w:pPr>
      <w:r w:rsidRPr="002F5AFF">
        <w:t>За результа</w:t>
      </w:r>
      <w:r w:rsidR="00A01D40" w:rsidRPr="002F5AFF">
        <w:t xml:space="preserve">тами розгляду таких повідомлень </w:t>
      </w:r>
      <w:r w:rsidRPr="002F5AFF">
        <w:t>до прав</w:t>
      </w:r>
      <w:r w:rsidR="00FB1692" w:rsidRPr="002F5AFF">
        <w:t xml:space="preserve">оохоронних органів направлено </w:t>
      </w:r>
      <w:r w:rsidR="008B1331">
        <w:t>1</w:t>
      </w:r>
      <w:r w:rsidR="00450CD7">
        <w:t>6</w:t>
      </w:r>
      <w:r w:rsidR="002A45B2" w:rsidRPr="002F5AFF">
        <w:t xml:space="preserve"> повідомлен</w:t>
      </w:r>
      <w:r w:rsidR="008272D6">
        <w:t>ь</w:t>
      </w:r>
      <w:r w:rsidR="002A45B2" w:rsidRPr="002F5AFF">
        <w:t xml:space="preserve">, </w:t>
      </w:r>
      <w:r w:rsidR="008B1331">
        <w:t>1</w:t>
      </w:r>
      <w:r w:rsidR="00450CD7">
        <w:t>4</w:t>
      </w:r>
      <w:r w:rsidRPr="002F5AFF">
        <w:t xml:space="preserve"> з яких – направлено до спеціально уповноважених суб’єктів у сфері протидії корупції для розгляду та над</w:t>
      </w:r>
      <w:r w:rsidR="008272D6">
        <w:t>ання правової оцінки;</w:t>
      </w:r>
      <w:r w:rsidR="00450CD7">
        <w:t xml:space="preserve"> порушено </w:t>
      </w:r>
      <w:r w:rsidR="00B02BCA">
        <w:t>4</w:t>
      </w:r>
      <w:r w:rsidR="00450CD7">
        <w:t xml:space="preserve"> дисциплінарні провадження;</w:t>
      </w:r>
      <w:r w:rsidR="008272D6">
        <w:t xml:space="preserve"> проведено </w:t>
      </w:r>
      <w:r w:rsidR="00450CD7">
        <w:t>1</w:t>
      </w:r>
      <w:r w:rsidR="00B02BCA">
        <w:t>3</w:t>
      </w:r>
      <w:r w:rsidR="008272D6">
        <w:t xml:space="preserve"> загальних профілактичних заходів.</w:t>
      </w:r>
    </w:p>
    <w:p w:rsidR="0004430D" w:rsidRPr="00150332" w:rsidRDefault="00A91597" w:rsidP="008B1331">
      <w:pPr>
        <w:ind w:firstLine="567"/>
        <w:jc w:val="both"/>
      </w:pPr>
      <w:r w:rsidRPr="0081648E">
        <w:t>Двох</w:t>
      </w:r>
      <w:r w:rsidR="0004430D" w:rsidRPr="004C2A80">
        <w:t xml:space="preserve"> посадов</w:t>
      </w:r>
      <w:r>
        <w:t>их</w:t>
      </w:r>
      <w:r w:rsidR="0004430D" w:rsidRPr="004C2A80">
        <w:t xml:space="preserve"> ос</w:t>
      </w:r>
      <w:r>
        <w:t>іб</w:t>
      </w:r>
      <w:r w:rsidR="0004430D" w:rsidRPr="004C2A80">
        <w:t xml:space="preserve"> внесено до Єдиного державного реєстру осіб, які вчинили корупційні або пов</w:t>
      </w:r>
      <w:r w:rsidR="0004430D" w:rsidRPr="004C2A80">
        <w:rPr>
          <w:lang w:val="en-US"/>
        </w:rPr>
        <w:t>’</w:t>
      </w:r>
      <w:r w:rsidR="0004430D" w:rsidRPr="004C2A80">
        <w:t xml:space="preserve">язані з корупцією правопорушення за </w:t>
      </w:r>
      <w:r w:rsidR="007A366F" w:rsidRPr="004C2A80">
        <w:t>факт</w:t>
      </w:r>
      <w:r w:rsidR="0004430D" w:rsidRPr="004C2A80">
        <w:t>ом</w:t>
      </w:r>
      <w:r w:rsidR="007A366F" w:rsidRPr="004C2A80">
        <w:t xml:space="preserve"> порушення етичної поведінки посадов</w:t>
      </w:r>
      <w:r w:rsidR="0004430D" w:rsidRPr="004C2A80">
        <w:t>ою</w:t>
      </w:r>
      <w:r w:rsidR="007A366F" w:rsidRPr="004C2A80">
        <w:t xml:space="preserve"> особ</w:t>
      </w:r>
      <w:r w:rsidR="0004430D" w:rsidRPr="004C2A80">
        <w:t>ою</w:t>
      </w:r>
      <w:r>
        <w:t xml:space="preserve"> митних органів.</w:t>
      </w:r>
    </w:p>
    <w:p w:rsidR="007A366F" w:rsidRDefault="007A366F" w:rsidP="00071ADD">
      <w:pPr>
        <w:ind w:firstLine="567"/>
        <w:jc w:val="both"/>
      </w:pPr>
      <w:r w:rsidRPr="00150332">
        <w:t xml:space="preserve">Також у звітному періоді проведено інші антикорупційні заходи, а саме – проведено аналіз </w:t>
      </w:r>
      <w:r w:rsidR="00B02BCA">
        <w:t>1171</w:t>
      </w:r>
      <w:r w:rsidR="0004430D" w:rsidRPr="00150332">
        <w:t xml:space="preserve"> </w:t>
      </w:r>
      <w:r w:rsidRPr="00150332">
        <w:t>потенційн</w:t>
      </w:r>
      <w:r w:rsidR="008272D6">
        <w:t>их</w:t>
      </w:r>
      <w:r w:rsidRPr="00150332">
        <w:t xml:space="preserve"> та наявн</w:t>
      </w:r>
      <w:r w:rsidR="008272D6">
        <w:t>их</w:t>
      </w:r>
      <w:r w:rsidRPr="00150332">
        <w:t xml:space="preserve"> контрагент</w:t>
      </w:r>
      <w:r w:rsidR="008272D6">
        <w:t>ів</w:t>
      </w:r>
      <w:r w:rsidRPr="00150332">
        <w:t xml:space="preserve"> та </w:t>
      </w:r>
      <w:r w:rsidR="00B02BCA">
        <w:t>1672</w:t>
      </w:r>
      <w:r w:rsidR="00CA1CC7" w:rsidRPr="00150332">
        <w:t xml:space="preserve"> </w:t>
      </w:r>
      <w:r w:rsidRPr="00150332">
        <w:t xml:space="preserve">договорів, надано методичну та консультаційну допомогу </w:t>
      </w:r>
      <w:r w:rsidR="00B02BCA">
        <w:t>4749</w:t>
      </w:r>
      <w:r w:rsidRPr="00150332">
        <w:t xml:space="preserve"> посадовим особам.</w:t>
      </w:r>
    </w:p>
    <w:p w:rsidR="00150332" w:rsidRDefault="00150332" w:rsidP="009D44D5">
      <w:pPr>
        <w:ind w:firstLine="567"/>
        <w:jc w:val="both"/>
      </w:pPr>
    </w:p>
    <w:p w:rsidR="009D44D5" w:rsidRPr="009D44D5" w:rsidRDefault="009D44D5" w:rsidP="009D44D5">
      <w:pPr>
        <w:ind w:firstLine="567"/>
        <w:jc w:val="both"/>
      </w:pPr>
      <w:r w:rsidRPr="009D44D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9D44D5" w:rsidRPr="009D44D5" w:rsidRDefault="009D44D5" w:rsidP="009D44D5">
      <w:pPr>
        <w:ind w:firstLine="567"/>
        <w:jc w:val="both"/>
      </w:pPr>
      <w:r w:rsidRPr="00E17E1E">
        <w:t>За результатами здійснення контролю щодо дотриманням вимог статті 28 Закону</w:t>
      </w:r>
      <w:r w:rsidR="00FD78F1" w:rsidRPr="00E17E1E">
        <w:t xml:space="preserve"> України «Про запобігання корупції»</w:t>
      </w:r>
      <w:r w:rsidRPr="00E17E1E">
        <w:t xml:space="preserve"> підготовлено </w:t>
      </w:r>
      <w:r w:rsidR="00C21936">
        <w:t>1</w:t>
      </w:r>
      <w:r w:rsidR="00762A4E">
        <w:t>2</w:t>
      </w:r>
      <w:r w:rsidR="00EF609A" w:rsidRPr="00E17E1E">
        <w:t xml:space="preserve"> </w:t>
      </w:r>
      <w:r w:rsidRPr="00E17E1E">
        <w:t>рішен</w:t>
      </w:r>
      <w:r w:rsidR="00F733FF" w:rsidRPr="00E17E1E">
        <w:t>ь</w:t>
      </w:r>
      <w:r w:rsidRPr="00E17E1E">
        <w:t xml:space="preserve"> про врегулювання конфлікту інтересів у посадов</w:t>
      </w:r>
      <w:r w:rsidR="00381B85">
        <w:t>их</w:t>
      </w:r>
      <w:r w:rsidRPr="00E17E1E">
        <w:t xml:space="preserve"> ос</w:t>
      </w:r>
      <w:r w:rsidR="00381B85">
        <w:t>іб</w:t>
      </w:r>
      <w:r w:rsidRPr="00E17E1E">
        <w:t xml:space="preserve">, які відносяться до номенклатури Голови Держмитслужби. Уповноваженими підрозділами (уповноваженими особами) врегульовано </w:t>
      </w:r>
      <w:r w:rsidR="00762A4E">
        <w:t>586</w:t>
      </w:r>
      <w:r w:rsidRPr="00E17E1E">
        <w:t xml:space="preserve"> конфлікт</w:t>
      </w:r>
      <w:r w:rsidR="00762A4E">
        <w:t>ів</w:t>
      </w:r>
      <w:r w:rsidRPr="00E17E1E">
        <w:t xml:space="preserve"> інтересів.</w:t>
      </w:r>
    </w:p>
    <w:p w:rsidR="00F46A33" w:rsidRPr="00F46A33" w:rsidRDefault="00F46A33" w:rsidP="00F46A33">
      <w:pPr>
        <w:ind w:firstLine="567"/>
        <w:jc w:val="both"/>
      </w:pPr>
      <w:r w:rsidRPr="00F46A33">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F46A33" w:rsidRPr="00F46A33" w:rsidRDefault="00F46A33" w:rsidP="00F46A33">
      <w:pPr>
        <w:ind w:firstLine="567"/>
        <w:jc w:val="both"/>
      </w:pPr>
      <w:r w:rsidRPr="00F46A33">
        <w:t>Всі проєкти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A366F" w:rsidRDefault="007A366F" w:rsidP="00071ADD">
      <w:pPr>
        <w:ind w:firstLine="567"/>
        <w:jc w:val="both"/>
      </w:pPr>
    </w:p>
    <w:p w:rsidR="0004430D" w:rsidRDefault="0004430D" w:rsidP="0004430D">
      <w:pPr>
        <w:ind w:firstLine="567"/>
        <w:jc w:val="both"/>
      </w:pPr>
      <w:r w:rsidRPr="0004430D">
        <w:t>Відповідно до пп. 6 п. 2 розділу ІІ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w:t>
      </w:r>
      <w:r>
        <w:t xml:space="preserve">нтства від 27.05.2021 № 277/21 </w:t>
      </w:r>
      <w:r w:rsidRPr="0004430D">
        <w:t xml:space="preserve">Уповноваженим підрозділом Держмитслужби </w:t>
      </w:r>
      <w:r>
        <w:t>та</w:t>
      </w:r>
      <w:r w:rsidRPr="0004430D">
        <w:t xml:space="preserve"> уповноваженими підрозділами (уповноваженими особами)</w:t>
      </w:r>
      <w:r>
        <w:t xml:space="preserve">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w:t>
      </w:r>
      <w:r w:rsidR="00150332">
        <w:t>овноваженого.</w:t>
      </w:r>
    </w:p>
    <w:p w:rsidR="00381B85" w:rsidRDefault="00381B85" w:rsidP="0004430D">
      <w:pPr>
        <w:ind w:firstLine="567"/>
        <w:jc w:val="both"/>
      </w:pPr>
    </w:p>
    <w:p w:rsidR="00194E05" w:rsidRPr="00194E05" w:rsidRDefault="00194E05" w:rsidP="00194E05">
      <w:pPr>
        <w:ind w:firstLine="567"/>
        <w:jc w:val="both"/>
      </w:pPr>
      <w:r w:rsidRPr="00194E05">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br/>
      </w:r>
      <w:r w:rsidRPr="00194E05">
        <w:t>№ 236. Звіти про виконання програми доведено керівництву Держмитслужби та оприлюднено на офіційному вебпорталі Держмитслужби. </w:t>
      </w:r>
    </w:p>
    <w:p w:rsidR="00381B85" w:rsidRPr="00A91597" w:rsidRDefault="00194E05" w:rsidP="0004430D">
      <w:pPr>
        <w:ind w:firstLine="567"/>
        <w:jc w:val="both"/>
      </w:pPr>
      <w:r w:rsidRPr="00194E05">
        <w:t xml:space="preserve">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буде подана  через Кабінет уповноваженого на Порталі доброчесності </w:t>
      </w:r>
      <w:r>
        <w:t>у визначений термін.</w:t>
      </w:r>
    </w:p>
    <w:p w:rsidR="00194E05" w:rsidRDefault="00194E05" w:rsidP="002F5AFF">
      <w:pPr>
        <w:ind w:firstLine="567"/>
        <w:jc w:val="both"/>
        <w:rPr>
          <w:rFonts w:eastAsia="Calibri"/>
        </w:rPr>
      </w:pPr>
    </w:p>
    <w:p w:rsidR="00282E96" w:rsidRPr="006257FA" w:rsidRDefault="006E27DA" w:rsidP="002F5AFF">
      <w:pPr>
        <w:ind w:firstLine="567"/>
        <w:jc w:val="both"/>
        <w:rPr>
          <w:rFonts w:eastAsia="Calibri"/>
        </w:rPr>
      </w:pPr>
      <w:r w:rsidRPr="00A4685E">
        <w:rPr>
          <w:rFonts w:eastAsia="Calibri"/>
        </w:rPr>
        <w:t>Н</w:t>
      </w:r>
      <w:r w:rsidR="002F5AFF" w:rsidRPr="00A4685E">
        <w:rPr>
          <w:rFonts w:eastAsia="Calibri"/>
        </w:rPr>
        <w:t>а виконання попередніх домовленостей</w:t>
      </w:r>
      <w:r w:rsidRPr="00A4685E">
        <w:rPr>
          <w:rFonts w:eastAsia="Calibri"/>
        </w:rPr>
        <w:t>,</w:t>
      </w:r>
      <w:r w:rsidR="002F5AFF" w:rsidRPr="00A4685E">
        <w:rPr>
          <w:rFonts w:eastAsia="Calibri"/>
        </w:rPr>
        <w:t xml:space="preserve"> </w:t>
      </w:r>
      <w:r w:rsidR="00282E96" w:rsidRPr="00A4685E">
        <w:rPr>
          <w:rFonts w:eastAsia="Calibri"/>
        </w:rPr>
        <w:t>протягом звітого періоду неодноразово відбувались зустрічі керівництва Управління з питань запобігання та виявлення корупції Держмитслужби (далі – Управління)</w:t>
      </w:r>
      <w:r w:rsidR="00282E96" w:rsidRPr="00A4685E">
        <w:rPr>
          <w:rFonts w:eastAsia="Calibri"/>
          <w:lang w:val="ru-RU"/>
        </w:rPr>
        <w:t xml:space="preserve"> </w:t>
      </w:r>
      <w:r w:rsidR="00013751">
        <w:rPr>
          <w:rFonts w:eastAsia="Calibri"/>
        </w:rPr>
        <w:t>з</w:t>
      </w:r>
      <w:r w:rsidR="00282E96" w:rsidRPr="00A4685E">
        <w:rPr>
          <w:rFonts w:eastAsia="Calibri"/>
        </w:rPr>
        <w:t xml:space="preserve"> представниками проєкту </w:t>
      </w:r>
      <w:r w:rsidR="00282E96" w:rsidRPr="00A4685E">
        <w:rPr>
          <w:rFonts w:eastAsia="Calibri"/>
          <w:lang w:val="en-US"/>
        </w:rPr>
        <w:t>EU</w:t>
      </w:r>
      <w:r w:rsidR="00282E96" w:rsidRPr="00A4685E">
        <w:rPr>
          <w:rFonts w:eastAsia="Calibri"/>
          <w:lang w:val="ru-RU"/>
        </w:rPr>
        <w:t>4</w:t>
      </w:r>
      <w:r w:rsidR="00282E96" w:rsidRPr="00A4685E">
        <w:rPr>
          <w:rFonts w:eastAsia="Calibri"/>
          <w:lang w:val="en-US"/>
        </w:rPr>
        <w:t>PFM</w:t>
      </w:r>
      <w:r w:rsidR="006257FA">
        <w:rPr>
          <w:rFonts w:eastAsia="Calibri"/>
        </w:rPr>
        <w:t>.</w:t>
      </w:r>
    </w:p>
    <w:p w:rsidR="00282E96" w:rsidRPr="00A4685E" w:rsidRDefault="00282E96" w:rsidP="00282E96">
      <w:pPr>
        <w:ind w:firstLine="567"/>
        <w:jc w:val="both"/>
        <w:rPr>
          <w:rFonts w:eastAsia="Calibri"/>
        </w:rPr>
      </w:pPr>
      <w:r w:rsidRPr="00A4685E">
        <w:rPr>
          <w:rFonts w:eastAsia="Calibri"/>
        </w:rPr>
        <w:t xml:space="preserve">Указані зустрічі мала на меті обговорення продовження співпраці Держмитслужби та </w:t>
      </w:r>
      <w:r w:rsidRPr="00A4685E">
        <w:rPr>
          <w:rFonts w:eastAsia="Calibri"/>
          <w:lang w:val="en-US"/>
        </w:rPr>
        <w:t>EU</w:t>
      </w:r>
      <w:r w:rsidRPr="00A4685E">
        <w:rPr>
          <w:rFonts w:eastAsia="Calibri"/>
        </w:rPr>
        <w:t>4</w:t>
      </w:r>
      <w:r w:rsidRPr="00A4685E">
        <w:rPr>
          <w:rFonts w:eastAsia="Calibri"/>
          <w:lang w:val="en-US"/>
        </w:rPr>
        <w:t xml:space="preserve">PFM </w:t>
      </w:r>
      <w:r w:rsidRPr="00A4685E">
        <w:rPr>
          <w:rFonts w:eastAsia="Calibri"/>
        </w:rPr>
        <w:t>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192452" w:rsidRPr="00A4685E" w:rsidRDefault="00282E96" w:rsidP="00282E96">
      <w:pPr>
        <w:ind w:firstLine="567"/>
        <w:jc w:val="both"/>
        <w:rPr>
          <w:rFonts w:eastAsia="Calibri"/>
        </w:rPr>
      </w:pPr>
      <w:r w:rsidRPr="00A4685E">
        <w:rPr>
          <w:rFonts w:eastAsia="Calibri"/>
        </w:rPr>
        <w:t xml:space="preserve">За результатами проведених зустрічей, за підтримки проєкту </w:t>
      </w:r>
      <w:r w:rsidRPr="00A4685E">
        <w:rPr>
          <w:rFonts w:eastAsia="Calibri"/>
          <w:lang w:val="en-US"/>
        </w:rPr>
        <w:t>EU</w:t>
      </w:r>
      <w:r w:rsidRPr="00A4685E">
        <w:rPr>
          <w:rFonts w:eastAsia="Calibri"/>
          <w:lang w:val="ru-RU"/>
        </w:rPr>
        <w:t>4</w:t>
      </w:r>
      <w:r w:rsidRPr="00A4685E">
        <w:rPr>
          <w:rFonts w:eastAsia="Calibri"/>
          <w:lang w:val="en-US"/>
        </w:rPr>
        <w:t>PFM</w:t>
      </w:r>
      <w:r w:rsidRPr="00A4685E">
        <w:rPr>
          <w:rFonts w:eastAsia="Calibri"/>
        </w:rPr>
        <w:t>, удосконалено Антикорпортал (відомостей) на сайті Держмитслужби</w:t>
      </w:r>
      <w:r w:rsidR="00192452" w:rsidRPr="00A4685E">
        <w:rPr>
          <w:rFonts w:eastAsia="Calibri"/>
        </w:rPr>
        <w:t xml:space="preserve"> та</w:t>
      </w:r>
      <w:r w:rsidRPr="00A4685E">
        <w:rPr>
          <w:rFonts w:eastAsia="Calibri"/>
        </w:rPr>
        <w:t xml:space="preserve"> </w:t>
      </w:r>
      <w:r w:rsidR="00CF6379">
        <w:rPr>
          <w:rFonts w:eastAsia="Calibri"/>
        </w:rPr>
        <w:t>н</w:t>
      </w:r>
      <w:r w:rsidR="00CF6379" w:rsidRPr="00CF6379">
        <w:rPr>
          <w:rFonts w:eastAsia="Calibri"/>
        </w:rPr>
        <w:t xml:space="preserve">аказом Держмитслужби від 22.05.2025 № 466 </w:t>
      </w:r>
      <w:r w:rsidRPr="00A4685E">
        <w:rPr>
          <w:rFonts w:eastAsia="Calibri"/>
        </w:rPr>
        <w:t>внесено зміни до Антикорупційної програми Держмитслужби</w:t>
      </w:r>
      <w:r w:rsidR="00192452" w:rsidRPr="00A4685E">
        <w:rPr>
          <w:rFonts w:eastAsia="Calibri"/>
        </w:rPr>
        <w:t xml:space="preserve"> на 2023-2025 роки</w:t>
      </w:r>
      <w:r w:rsidRPr="00A4685E">
        <w:rPr>
          <w:rFonts w:eastAsia="Calibri"/>
        </w:rPr>
        <w:t>, затвердженої наказом Держмитслужби від 31.05.2023 № 236</w:t>
      </w:r>
      <w:r w:rsidR="00502AD3">
        <w:rPr>
          <w:rFonts w:eastAsia="Calibri"/>
        </w:rPr>
        <w:t>,</w:t>
      </w:r>
      <w:r w:rsidR="00192452" w:rsidRPr="00A4685E">
        <w:rPr>
          <w:rFonts w:eastAsia="Calibri"/>
        </w:rPr>
        <w:t xml:space="preserve"> в частині зменшення кількості можливих корупційних ризиків і визначен</w:t>
      </w:r>
      <w:r w:rsidR="00846EC0">
        <w:rPr>
          <w:rFonts w:eastAsia="Calibri"/>
        </w:rPr>
        <w:t>ня</w:t>
      </w:r>
      <w:r w:rsidR="00192452" w:rsidRPr="00A4685E">
        <w:rPr>
          <w:rFonts w:eastAsia="Calibri"/>
        </w:rPr>
        <w:t xml:space="preserve"> ключов</w:t>
      </w:r>
      <w:r w:rsidR="00846EC0">
        <w:rPr>
          <w:rFonts w:eastAsia="Calibri"/>
        </w:rPr>
        <w:t>их</w:t>
      </w:r>
      <w:r w:rsidR="00192452" w:rsidRPr="00A4685E">
        <w:rPr>
          <w:rFonts w:eastAsia="Calibri"/>
        </w:rPr>
        <w:t xml:space="preserve"> показників ефективності діяльності Держмитслужби</w:t>
      </w:r>
      <w:r w:rsidR="00192452" w:rsidRPr="00A4685E">
        <w:rPr>
          <w:rFonts w:eastAsia="Calibri"/>
          <w:lang w:val="en-US"/>
        </w:rPr>
        <w:t xml:space="preserve"> </w:t>
      </w:r>
      <w:r w:rsidR="00192452" w:rsidRPr="00A4685E">
        <w:rPr>
          <w:rFonts w:eastAsia="Calibri"/>
        </w:rPr>
        <w:t>на 2023–2025 роки (КРІ)</w:t>
      </w:r>
      <w:r w:rsidR="00846EC0">
        <w:rPr>
          <w:rFonts w:eastAsia="Calibri"/>
        </w:rPr>
        <w:t>.</w:t>
      </w:r>
    </w:p>
    <w:p w:rsidR="00F1084E" w:rsidRPr="00F1084E" w:rsidRDefault="00192452" w:rsidP="00F1084E">
      <w:pPr>
        <w:ind w:firstLine="567"/>
        <w:jc w:val="both"/>
        <w:rPr>
          <w:rFonts w:eastAsia="Calibri"/>
        </w:rPr>
      </w:pPr>
      <w:r w:rsidRPr="00A4685E">
        <w:rPr>
          <w:rFonts w:eastAsia="Calibri"/>
        </w:rPr>
        <w:t>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w:t>
      </w:r>
      <w:r w:rsidR="00F1084E">
        <w:rPr>
          <w:rFonts w:eastAsia="Calibri"/>
        </w:rPr>
        <w:t xml:space="preserve"> </w:t>
      </w:r>
      <w:r w:rsidR="00770203" w:rsidRPr="00770203">
        <w:rPr>
          <w:rFonts w:eastAsia="Calibri"/>
        </w:rPr>
        <w:t>Уповноважени</w:t>
      </w:r>
      <w:r w:rsidR="00770203">
        <w:rPr>
          <w:rFonts w:eastAsia="Calibri"/>
        </w:rPr>
        <w:t>м</w:t>
      </w:r>
      <w:r w:rsidR="00770203" w:rsidRPr="00770203">
        <w:rPr>
          <w:rFonts w:eastAsia="Calibri"/>
        </w:rPr>
        <w:t xml:space="preserve"> підрозділ</w:t>
      </w:r>
      <w:r w:rsidR="00770203">
        <w:rPr>
          <w:rFonts w:eastAsia="Calibri"/>
        </w:rPr>
        <w:t>ом</w:t>
      </w:r>
      <w:r w:rsidR="00770203" w:rsidRPr="00770203">
        <w:rPr>
          <w:rFonts w:eastAsia="Calibri"/>
        </w:rPr>
        <w:t xml:space="preserve"> Держмитслужби </w:t>
      </w:r>
      <w:r w:rsidR="00F1084E" w:rsidRPr="00F1084E">
        <w:rPr>
          <w:rFonts w:eastAsia="Calibri"/>
        </w:rPr>
        <w:t xml:space="preserve">розробилено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проєкту. До НАДС направлено технічне завдання щодо реєстрації міжнародної технічної допомоги в рамках проєкту </w:t>
      </w:r>
      <w:r w:rsidR="00F1084E" w:rsidRPr="00F1084E">
        <w:rPr>
          <w:rFonts w:eastAsia="Calibri"/>
          <w:lang w:val="en-US"/>
        </w:rPr>
        <w:t>TWINNING</w:t>
      </w:r>
      <w:r w:rsidR="00F1084E" w:rsidRPr="00F1084E">
        <w:rPr>
          <w:rFonts w:eastAsia="Calibri"/>
        </w:rPr>
        <w:t>.</w:t>
      </w:r>
    </w:p>
    <w:p w:rsidR="00282E96" w:rsidRPr="002F5AFF" w:rsidRDefault="00282E96" w:rsidP="002F5AFF">
      <w:pPr>
        <w:ind w:firstLine="567"/>
        <w:jc w:val="both"/>
        <w:rPr>
          <w:rFonts w:eastAsia="Calibri"/>
        </w:rPr>
      </w:pPr>
    </w:p>
    <w:p w:rsidR="00E17E1E" w:rsidRPr="00E17E1E" w:rsidRDefault="00A4685E" w:rsidP="00E17E1E">
      <w:pPr>
        <w:ind w:firstLine="567"/>
        <w:jc w:val="both"/>
        <w:rPr>
          <w:rFonts w:eastAsia="Times New Roman"/>
          <w:lang w:eastAsia="uk-UA"/>
        </w:rPr>
      </w:pPr>
      <w:r>
        <w:rPr>
          <w:rFonts w:eastAsia="Calibri"/>
        </w:rPr>
        <w:t xml:space="preserve">Протягом </w:t>
      </w:r>
      <w:r w:rsidR="00A91597">
        <w:rPr>
          <w:rFonts w:eastAsia="Calibri"/>
        </w:rPr>
        <w:t>І півріччя</w:t>
      </w:r>
      <w:r>
        <w:rPr>
          <w:rFonts w:eastAsia="Calibri"/>
        </w:rPr>
        <w:t xml:space="preserve"> відбули</w:t>
      </w:r>
      <w:r w:rsidR="00E17E1E" w:rsidRPr="00E17E1E">
        <w:rPr>
          <w:rFonts w:eastAsia="Calibri"/>
        </w:rPr>
        <w:t>ся онлайн зустріч</w:t>
      </w:r>
      <w:r>
        <w:rPr>
          <w:rFonts w:eastAsia="Calibri"/>
        </w:rPr>
        <w:t>і</w:t>
      </w:r>
      <w:r w:rsidR="00E17E1E" w:rsidRPr="00E17E1E">
        <w:rPr>
          <w:rFonts w:eastAsia="Calibri"/>
        </w:rPr>
        <w:t xml:space="preserve"> керівництва Управління </w:t>
      </w:r>
      <w:r>
        <w:rPr>
          <w:rFonts w:eastAsia="Calibri"/>
        </w:rPr>
        <w:t>з</w:t>
      </w:r>
      <w:r w:rsidR="00E17E1E" w:rsidRPr="00E17E1E">
        <w:rPr>
          <w:rFonts w:eastAsia="Calibri"/>
        </w:rPr>
        <w:t xml:space="preserve"> представниками </w:t>
      </w:r>
      <w:r w:rsidR="00E17E1E" w:rsidRPr="00E17E1E">
        <w:rPr>
          <w:rFonts w:eastAsia="Calibri"/>
          <w:lang w:val="en-US"/>
        </w:rPr>
        <w:t xml:space="preserve">WCO </w:t>
      </w:r>
      <w:r w:rsidR="00E17E1E" w:rsidRPr="00E17E1E">
        <w:rPr>
          <w:rFonts w:eastAsia="Times New Roman"/>
          <w:lang w:eastAsia="uk-UA"/>
        </w:rPr>
        <w:t xml:space="preserve">для обговорення подальшої двосторонньої співпраці, а </w:t>
      </w:r>
      <w:r w:rsidR="00E17E1E" w:rsidRPr="00E17E1E">
        <w:rPr>
          <w:rFonts w:eastAsia="Times New Roman"/>
          <w:lang w:eastAsia="uk-UA"/>
        </w:rPr>
        <w:lastRenderedPageBreak/>
        <w:t>також обговорення спільних заходів на 2025 рік</w:t>
      </w:r>
      <w:r w:rsidR="00666A26">
        <w:rPr>
          <w:rFonts w:eastAsia="Times New Roman"/>
          <w:lang w:eastAsia="uk-UA"/>
        </w:rPr>
        <w:t xml:space="preserve">, в тому числі проведення </w:t>
      </w:r>
      <w:r w:rsidR="00666A26" w:rsidRPr="00666A26">
        <w:rPr>
          <w:rFonts w:eastAsia="Times New Roman"/>
          <w:lang w:eastAsia="uk-UA"/>
        </w:rPr>
        <w:t>наступного етапу опитування CIPS, яке заплановане на вересень 2025 року</w:t>
      </w:r>
      <w:r w:rsidR="00E17E1E" w:rsidRPr="00E17E1E">
        <w:rPr>
          <w:rFonts w:eastAsia="Times New Roman"/>
          <w:lang w:eastAsia="uk-UA"/>
        </w:rPr>
        <w:t xml:space="preserve">. </w:t>
      </w:r>
    </w:p>
    <w:p w:rsidR="00013751" w:rsidRPr="00013751" w:rsidRDefault="00E17E1E" w:rsidP="00013751">
      <w:pPr>
        <w:ind w:firstLine="567"/>
        <w:jc w:val="both"/>
        <w:rPr>
          <w:rFonts w:eastAsia="Times New Roman"/>
          <w:lang w:eastAsia="uk-UA"/>
        </w:rPr>
      </w:pPr>
      <w:r w:rsidRPr="00E17E1E">
        <w:rPr>
          <w:rFonts w:eastAsia="Calibri"/>
        </w:rPr>
        <w:t>Серед питань, які також обговорювались на зустрічі</w:t>
      </w:r>
      <w:r w:rsidR="00666A26">
        <w:rPr>
          <w:rFonts w:eastAsia="Calibri"/>
        </w:rPr>
        <w:t>,</w:t>
      </w:r>
      <w:r w:rsidRPr="00E17E1E">
        <w:rPr>
          <w:rFonts w:eastAsia="Calibri"/>
        </w:rPr>
        <w:t xml:space="preserve"> було висвітлення питання щодо використання Антикорупційної програми на платформі </w:t>
      </w:r>
      <w:r w:rsidRPr="00E17E1E">
        <w:rPr>
          <w:rFonts w:eastAsia="Calibri"/>
          <w:lang w:val="en-US"/>
        </w:rPr>
        <w:t>PMM</w:t>
      </w:r>
      <w:r w:rsidRPr="00E17E1E">
        <w:rPr>
          <w:rFonts w:eastAsia="Calibri"/>
        </w:rPr>
        <w:t xml:space="preserve"> та щодо продовження програми </w:t>
      </w:r>
      <w:r w:rsidRPr="00E17E1E">
        <w:rPr>
          <w:rFonts w:eastAsia="Calibri"/>
          <w:lang w:val="en-US"/>
        </w:rPr>
        <w:t xml:space="preserve">A-CIP WCO </w:t>
      </w:r>
      <w:r w:rsidRPr="00E17E1E">
        <w:rPr>
          <w:rFonts w:eastAsia="Calibri"/>
        </w:rPr>
        <w:t>після вересня 2025 року.</w:t>
      </w:r>
      <w:r w:rsidR="00013751" w:rsidRPr="00013751">
        <w:rPr>
          <w:rFonts w:eastAsia="Times New Roman"/>
          <w:lang w:eastAsia="uk-UA"/>
        </w:rPr>
        <w:t xml:space="preserve"> </w:t>
      </w:r>
      <w:r w:rsidR="00013751" w:rsidRPr="00013751">
        <w:rPr>
          <w:lang w:eastAsia="uk-UA"/>
        </w:rPr>
        <w:t>Також</w:t>
      </w:r>
      <w:r w:rsidR="00013751" w:rsidRPr="00E17E1E">
        <w:rPr>
          <w:lang w:eastAsia="uk-UA"/>
        </w:rPr>
        <w:t xml:space="preserve"> було обговорено питання щодо використання результатів дослідження CIPS і забезпечення належного інформування щодо них, так як огляд результатів стане основою для нової Антикорупційної програми на 2026-2028 роки, розробку якої рекомендується розпочати у середині 2025 року з офіційним запуском у 2026 році.</w:t>
      </w:r>
    </w:p>
    <w:p w:rsidR="00E17E1E" w:rsidRPr="00E17E1E" w:rsidRDefault="00E17E1E" w:rsidP="00E17E1E">
      <w:pPr>
        <w:ind w:firstLine="567"/>
        <w:jc w:val="both"/>
        <w:rPr>
          <w:rFonts w:eastAsia="Calibri"/>
        </w:rPr>
      </w:pPr>
    </w:p>
    <w:p w:rsidR="00B73674" w:rsidRPr="00B73674" w:rsidRDefault="00013751" w:rsidP="00B73674">
      <w:pPr>
        <w:ind w:firstLine="567"/>
        <w:jc w:val="both"/>
        <w:rPr>
          <w:rFonts w:eastAsia="Times New Roman"/>
          <w:lang w:eastAsia="ru-RU"/>
        </w:rPr>
      </w:pPr>
      <w:r>
        <w:rPr>
          <w:rFonts w:eastAsia="Times New Roman"/>
          <w:lang w:eastAsia="ru-RU"/>
        </w:rPr>
        <w:t>У</w:t>
      </w:r>
      <w:r w:rsidR="00714D1B">
        <w:rPr>
          <w:rFonts w:eastAsia="Times New Roman"/>
          <w:lang w:eastAsia="ru-RU"/>
        </w:rPr>
        <w:t xml:space="preserve"> квітні</w:t>
      </w:r>
      <w:r w:rsidR="00714D1B" w:rsidRPr="00714D1B">
        <w:rPr>
          <w:rFonts w:eastAsia="Times New Roman"/>
          <w:lang w:eastAsia="ru-RU"/>
        </w:rPr>
        <w:t xml:space="preserve"> Управління</w:t>
      </w:r>
      <w:r w:rsidR="00714D1B">
        <w:rPr>
          <w:rFonts w:eastAsia="Times New Roman"/>
          <w:lang w:eastAsia="ru-RU"/>
        </w:rPr>
        <w:t>м</w:t>
      </w:r>
      <w:r w:rsidR="00714D1B" w:rsidRPr="00714D1B">
        <w:rPr>
          <w:rFonts w:eastAsia="Times New Roman"/>
          <w:lang w:eastAsia="ru-RU"/>
        </w:rPr>
        <w:t xml:space="preserve"> </w:t>
      </w:r>
      <w:r w:rsidR="00714D1B">
        <w:rPr>
          <w:rFonts w:eastAsia="Times New Roman"/>
          <w:lang w:eastAsia="ru-RU"/>
        </w:rPr>
        <w:t xml:space="preserve">прийнято участь у </w:t>
      </w:r>
      <w:r w:rsidR="00714D1B" w:rsidRPr="00714D1B">
        <w:rPr>
          <w:rFonts w:eastAsia="Times New Roman"/>
          <w:lang w:eastAsia="ru-RU"/>
        </w:rPr>
        <w:t>скринінг</w:t>
      </w:r>
      <w:r w:rsidR="00714D1B">
        <w:rPr>
          <w:rFonts w:eastAsia="Times New Roman"/>
          <w:lang w:eastAsia="ru-RU"/>
        </w:rPr>
        <w:t>у</w:t>
      </w:r>
      <w:r w:rsidR="00714D1B" w:rsidRPr="00714D1B">
        <w:rPr>
          <w:rFonts w:eastAsia="Times New Roman"/>
          <w:lang w:eastAsia="ru-RU"/>
        </w:rPr>
        <w:t xml:space="preserve">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w:t>
      </w:r>
      <w:r w:rsidR="00714D1B">
        <w:rPr>
          <w:rFonts w:eastAsia="Times New Roman"/>
          <w:lang w:eastAsia="ru-RU"/>
        </w:rPr>
        <w:t xml:space="preserve"> у</w:t>
      </w:r>
      <w:r w:rsidR="00B73674" w:rsidRPr="00B73674">
        <w:rPr>
          <w:rFonts w:eastAsia="Times New Roman"/>
          <w:lang w:eastAsia="ru-RU"/>
        </w:rPr>
        <w:t xml:space="preserve">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w:t>
      </w:r>
      <w:r w:rsidR="00B73674">
        <w:rPr>
          <w:rFonts w:eastAsia="Times New Roman"/>
          <w:lang w:eastAsia="ru-RU"/>
        </w:rPr>
        <w:t xml:space="preserve">пційної програми Держмитслужби; </w:t>
      </w:r>
      <w:r w:rsidR="00B73674" w:rsidRPr="00B73674">
        <w:rPr>
          <w:rFonts w:eastAsia="Times New Roman"/>
          <w:lang w:eastAsia="ru-RU"/>
        </w:rPr>
        <w:t>щодо поточних викликів та подальших кроків щодо їх вирішення.</w:t>
      </w:r>
    </w:p>
    <w:p w:rsidR="00B73674" w:rsidRDefault="00B73674" w:rsidP="00381B85">
      <w:pPr>
        <w:ind w:firstLine="567"/>
        <w:jc w:val="both"/>
        <w:rPr>
          <w:rFonts w:eastAsia="Times New Roman"/>
          <w:lang w:eastAsia="ru-RU"/>
        </w:rPr>
      </w:pPr>
    </w:p>
    <w:p w:rsidR="00A4685E" w:rsidRPr="00A4685E" w:rsidRDefault="00A4685E" w:rsidP="00A4685E">
      <w:pPr>
        <w:ind w:firstLine="567"/>
        <w:jc w:val="both"/>
        <w:rPr>
          <w:rFonts w:eastAsia="Times New Roman"/>
          <w:lang w:eastAsia="ru-RU"/>
        </w:rPr>
      </w:pPr>
      <w:r>
        <w:rPr>
          <w:rFonts w:eastAsia="Times New Roman"/>
          <w:lang w:eastAsia="ru-RU"/>
        </w:rPr>
        <w:t>В</w:t>
      </w:r>
      <w:r w:rsidRPr="00A4685E">
        <w:rPr>
          <w:rFonts w:eastAsia="Times New Roman"/>
          <w:lang w:eastAsia="ru-RU"/>
        </w:rPr>
        <w:t xml:space="preserve">ідповідно до запрошення </w:t>
      </w:r>
      <w:r w:rsidR="00E30B50" w:rsidRPr="00E30B50">
        <w:rPr>
          <w:rFonts w:eastAsia="Times New Roman"/>
          <w:lang w:eastAsia="ru-RU"/>
        </w:rPr>
        <w:t>Управління ООН з наркотиків та злочинності</w:t>
      </w:r>
      <w:r w:rsidR="00E30B50">
        <w:rPr>
          <w:rFonts w:eastAsia="Times New Roman"/>
          <w:lang w:eastAsia="ru-RU"/>
        </w:rPr>
        <w:t xml:space="preserve"> (далі – УНЗ ООН) </w:t>
      </w:r>
      <w:r w:rsidRPr="00A4685E">
        <w:rPr>
          <w:rFonts w:eastAsia="Times New Roman"/>
          <w:lang w:eastAsia="ru-RU"/>
        </w:rPr>
        <w:t xml:space="preserve">представник Управління </w:t>
      </w:r>
      <w:r w:rsidRPr="00A4685E">
        <w:rPr>
          <w:rFonts w:eastAsia="Times New Roman"/>
          <w:lang w:val="ru-RU" w:eastAsia="ru-RU"/>
        </w:rPr>
        <w:t xml:space="preserve">взяв участь </w:t>
      </w:r>
      <w:r w:rsidRPr="00A4685E">
        <w:rPr>
          <w:rFonts w:eastAsia="Times New Roman"/>
          <w:lang w:eastAsia="ru-RU"/>
        </w:rPr>
        <w:t>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w:t>
      </w:r>
      <w:r w:rsidRPr="00A4685E">
        <w:t xml:space="preserve"> </w:t>
      </w:r>
      <w:r>
        <w:t>Б</w:t>
      </w:r>
      <w:r w:rsidRPr="00A4685E">
        <w:rPr>
          <w:rFonts w:eastAsia="Times New Roman"/>
          <w:lang w:eastAsia="ru-RU"/>
        </w:rPr>
        <w:t xml:space="preserve">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A4685E" w:rsidRPr="00A4685E" w:rsidRDefault="00A4685E" w:rsidP="00A4685E">
      <w:pPr>
        <w:ind w:firstLine="567"/>
        <w:jc w:val="both"/>
        <w:rPr>
          <w:rFonts w:eastAsia="Times New Roman"/>
          <w:lang w:eastAsia="ru-RU"/>
        </w:rPr>
      </w:pPr>
      <w:bookmarkStart w:id="0" w:name="_GoBack"/>
      <w:bookmarkEnd w:id="0"/>
    </w:p>
    <w:sectPr w:rsidR="00A4685E" w:rsidRPr="00A4685E"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16" w:rsidRDefault="00B41116" w:rsidP="00F13B63">
      <w:r>
        <w:separator/>
      </w:r>
    </w:p>
  </w:endnote>
  <w:endnote w:type="continuationSeparator" w:id="0">
    <w:p w:rsidR="00B41116" w:rsidRDefault="00B41116"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16" w:rsidRDefault="00B41116" w:rsidP="00F13B63">
      <w:r>
        <w:separator/>
      </w:r>
    </w:p>
  </w:footnote>
  <w:footnote w:type="continuationSeparator" w:id="0">
    <w:p w:rsidR="00B41116" w:rsidRDefault="00B41116"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941D8A" w:rsidRPr="00941D8A">
          <w:rPr>
            <w:noProof/>
            <w:lang w:val="ru-RU"/>
          </w:rPr>
          <w:t>5</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C9F"/>
    <w:rsid w:val="00041B5A"/>
    <w:rsid w:val="0004430D"/>
    <w:rsid w:val="00044387"/>
    <w:rsid w:val="00046853"/>
    <w:rsid w:val="00056DA2"/>
    <w:rsid w:val="00071ADD"/>
    <w:rsid w:val="00076A77"/>
    <w:rsid w:val="00076C67"/>
    <w:rsid w:val="00077A61"/>
    <w:rsid w:val="00091D24"/>
    <w:rsid w:val="00092803"/>
    <w:rsid w:val="0009364F"/>
    <w:rsid w:val="00093D39"/>
    <w:rsid w:val="000947D7"/>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1071D9"/>
    <w:rsid w:val="00110BDC"/>
    <w:rsid w:val="00111D49"/>
    <w:rsid w:val="00113F34"/>
    <w:rsid w:val="00116D0A"/>
    <w:rsid w:val="00117202"/>
    <w:rsid w:val="00120A18"/>
    <w:rsid w:val="0012125D"/>
    <w:rsid w:val="00126BCE"/>
    <w:rsid w:val="00133E4B"/>
    <w:rsid w:val="001360C1"/>
    <w:rsid w:val="001366C8"/>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62F1A"/>
    <w:rsid w:val="00266539"/>
    <w:rsid w:val="00276BDE"/>
    <w:rsid w:val="002805F7"/>
    <w:rsid w:val="00280975"/>
    <w:rsid w:val="00282E96"/>
    <w:rsid w:val="00284748"/>
    <w:rsid w:val="00293F5C"/>
    <w:rsid w:val="002A1401"/>
    <w:rsid w:val="002A3378"/>
    <w:rsid w:val="002A45B2"/>
    <w:rsid w:val="002B3900"/>
    <w:rsid w:val="002B72FD"/>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6146"/>
    <w:rsid w:val="003276F5"/>
    <w:rsid w:val="00334CCC"/>
    <w:rsid w:val="003430FE"/>
    <w:rsid w:val="00345558"/>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2AF6"/>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7C78"/>
    <w:rsid w:val="004C7EC0"/>
    <w:rsid w:val="004D284B"/>
    <w:rsid w:val="004D3F0D"/>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12CF"/>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57D"/>
    <w:rsid w:val="0077218B"/>
    <w:rsid w:val="00777850"/>
    <w:rsid w:val="00782950"/>
    <w:rsid w:val="00787DED"/>
    <w:rsid w:val="00792BAC"/>
    <w:rsid w:val="007947FA"/>
    <w:rsid w:val="00794E43"/>
    <w:rsid w:val="007A366F"/>
    <w:rsid w:val="007A6C2B"/>
    <w:rsid w:val="007B0185"/>
    <w:rsid w:val="007B72AD"/>
    <w:rsid w:val="007C0256"/>
    <w:rsid w:val="007C61B8"/>
    <w:rsid w:val="007D675F"/>
    <w:rsid w:val="007E090A"/>
    <w:rsid w:val="007E227D"/>
    <w:rsid w:val="007F1C50"/>
    <w:rsid w:val="007F5B3D"/>
    <w:rsid w:val="007F6950"/>
    <w:rsid w:val="008127A8"/>
    <w:rsid w:val="0081648E"/>
    <w:rsid w:val="00823241"/>
    <w:rsid w:val="00826796"/>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6BA"/>
    <w:rsid w:val="0087780D"/>
    <w:rsid w:val="00887C6E"/>
    <w:rsid w:val="00897A2B"/>
    <w:rsid w:val="008A1625"/>
    <w:rsid w:val="008A1C3F"/>
    <w:rsid w:val="008A22E9"/>
    <w:rsid w:val="008A3B99"/>
    <w:rsid w:val="008A487B"/>
    <w:rsid w:val="008A4F7A"/>
    <w:rsid w:val="008B1331"/>
    <w:rsid w:val="008B45AA"/>
    <w:rsid w:val="008D00E6"/>
    <w:rsid w:val="008E2A46"/>
    <w:rsid w:val="008E2C42"/>
    <w:rsid w:val="008E3C90"/>
    <w:rsid w:val="008F45C4"/>
    <w:rsid w:val="008F5CEA"/>
    <w:rsid w:val="008F6790"/>
    <w:rsid w:val="008F6E37"/>
    <w:rsid w:val="008F7237"/>
    <w:rsid w:val="00901F1E"/>
    <w:rsid w:val="00903A7A"/>
    <w:rsid w:val="00905C95"/>
    <w:rsid w:val="00906DE3"/>
    <w:rsid w:val="00911427"/>
    <w:rsid w:val="009143E6"/>
    <w:rsid w:val="00915767"/>
    <w:rsid w:val="00923091"/>
    <w:rsid w:val="009258FC"/>
    <w:rsid w:val="009277DB"/>
    <w:rsid w:val="00941D8A"/>
    <w:rsid w:val="009432C0"/>
    <w:rsid w:val="009476F4"/>
    <w:rsid w:val="00953685"/>
    <w:rsid w:val="0095574F"/>
    <w:rsid w:val="00966C31"/>
    <w:rsid w:val="009704A5"/>
    <w:rsid w:val="00971D02"/>
    <w:rsid w:val="009725C8"/>
    <w:rsid w:val="009805DB"/>
    <w:rsid w:val="009860BF"/>
    <w:rsid w:val="009867D7"/>
    <w:rsid w:val="00992BDD"/>
    <w:rsid w:val="00993051"/>
    <w:rsid w:val="009969AD"/>
    <w:rsid w:val="009A1A93"/>
    <w:rsid w:val="009B356F"/>
    <w:rsid w:val="009B7DD4"/>
    <w:rsid w:val="009C6D63"/>
    <w:rsid w:val="009D25FD"/>
    <w:rsid w:val="009D44D5"/>
    <w:rsid w:val="009D570B"/>
    <w:rsid w:val="009D586F"/>
    <w:rsid w:val="009D713D"/>
    <w:rsid w:val="009E266C"/>
    <w:rsid w:val="009F1734"/>
    <w:rsid w:val="009F7854"/>
    <w:rsid w:val="00A019FB"/>
    <w:rsid w:val="00A01D40"/>
    <w:rsid w:val="00A02E62"/>
    <w:rsid w:val="00A10126"/>
    <w:rsid w:val="00A11B8C"/>
    <w:rsid w:val="00A120CA"/>
    <w:rsid w:val="00A133F9"/>
    <w:rsid w:val="00A2190B"/>
    <w:rsid w:val="00A223D8"/>
    <w:rsid w:val="00A24544"/>
    <w:rsid w:val="00A263D1"/>
    <w:rsid w:val="00A34804"/>
    <w:rsid w:val="00A3584F"/>
    <w:rsid w:val="00A41928"/>
    <w:rsid w:val="00A45F70"/>
    <w:rsid w:val="00A4685E"/>
    <w:rsid w:val="00A629CB"/>
    <w:rsid w:val="00A72068"/>
    <w:rsid w:val="00A7457C"/>
    <w:rsid w:val="00A769A7"/>
    <w:rsid w:val="00A7777A"/>
    <w:rsid w:val="00A81147"/>
    <w:rsid w:val="00A83723"/>
    <w:rsid w:val="00A91597"/>
    <w:rsid w:val="00A94D15"/>
    <w:rsid w:val="00A96E66"/>
    <w:rsid w:val="00A97854"/>
    <w:rsid w:val="00AA4C26"/>
    <w:rsid w:val="00AB304E"/>
    <w:rsid w:val="00AB47C1"/>
    <w:rsid w:val="00AB597D"/>
    <w:rsid w:val="00AB7056"/>
    <w:rsid w:val="00AC7851"/>
    <w:rsid w:val="00AD1F52"/>
    <w:rsid w:val="00AD247A"/>
    <w:rsid w:val="00AD2D45"/>
    <w:rsid w:val="00AD6605"/>
    <w:rsid w:val="00AE00ED"/>
    <w:rsid w:val="00AE11E9"/>
    <w:rsid w:val="00AE34B4"/>
    <w:rsid w:val="00AE6C17"/>
    <w:rsid w:val="00AE7774"/>
    <w:rsid w:val="00AF3B39"/>
    <w:rsid w:val="00AF4AFF"/>
    <w:rsid w:val="00AF7157"/>
    <w:rsid w:val="00B01BBB"/>
    <w:rsid w:val="00B02BCA"/>
    <w:rsid w:val="00B031DB"/>
    <w:rsid w:val="00B06B3F"/>
    <w:rsid w:val="00B1040C"/>
    <w:rsid w:val="00B11CB9"/>
    <w:rsid w:val="00B137E0"/>
    <w:rsid w:val="00B14DC0"/>
    <w:rsid w:val="00B16CA7"/>
    <w:rsid w:val="00B17A81"/>
    <w:rsid w:val="00B17D50"/>
    <w:rsid w:val="00B2347E"/>
    <w:rsid w:val="00B30AE6"/>
    <w:rsid w:val="00B3258B"/>
    <w:rsid w:val="00B3267A"/>
    <w:rsid w:val="00B3472A"/>
    <w:rsid w:val="00B41116"/>
    <w:rsid w:val="00B41E06"/>
    <w:rsid w:val="00B6178D"/>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29B7"/>
    <w:rsid w:val="00C0072B"/>
    <w:rsid w:val="00C04DAC"/>
    <w:rsid w:val="00C0594D"/>
    <w:rsid w:val="00C05C08"/>
    <w:rsid w:val="00C069BD"/>
    <w:rsid w:val="00C12640"/>
    <w:rsid w:val="00C13071"/>
    <w:rsid w:val="00C17A84"/>
    <w:rsid w:val="00C21936"/>
    <w:rsid w:val="00C26086"/>
    <w:rsid w:val="00C35D97"/>
    <w:rsid w:val="00C407BE"/>
    <w:rsid w:val="00C47ABB"/>
    <w:rsid w:val="00C502EF"/>
    <w:rsid w:val="00C505BE"/>
    <w:rsid w:val="00C51780"/>
    <w:rsid w:val="00C51D81"/>
    <w:rsid w:val="00C57441"/>
    <w:rsid w:val="00C6281C"/>
    <w:rsid w:val="00C62AC3"/>
    <w:rsid w:val="00C63C1E"/>
    <w:rsid w:val="00C72E90"/>
    <w:rsid w:val="00C931D0"/>
    <w:rsid w:val="00CA0E98"/>
    <w:rsid w:val="00CA1CC7"/>
    <w:rsid w:val="00CA5A62"/>
    <w:rsid w:val="00CA5A7F"/>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104D6"/>
    <w:rsid w:val="00D1059D"/>
    <w:rsid w:val="00D10CBF"/>
    <w:rsid w:val="00D11D10"/>
    <w:rsid w:val="00D12C85"/>
    <w:rsid w:val="00D12F9B"/>
    <w:rsid w:val="00D14862"/>
    <w:rsid w:val="00D14B6A"/>
    <w:rsid w:val="00D2292A"/>
    <w:rsid w:val="00D22B31"/>
    <w:rsid w:val="00D2525C"/>
    <w:rsid w:val="00D32CF1"/>
    <w:rsid w:val="00D36901"/>
    <w:rsid w:val="00D4224C"/>
    <w:rsid w:val="00D52B67"/>
    <w:rsid w:val="00D5748E"/>
    <w:rsid w:val="00D6130E"/>
    <w:rsid w:val="00D65E98"/>
    <w:rsid w:val="00D6639B"/>
    <w:rsid w:val="00D670F8"/>
    <w:rsid w:val="00D7116A"/>
    <w:rsid w:val="00D8662C"/>
    <w:rsid w:val="00D87BE3"/>
    <w:rsid w:val="00D9083D"/>
    <w:rsid w:val="00DB00B3"/>
    <w:rsid w:val="00DB2CED"/>
    <w:rsid w:val="00DC273B"/>
    <w:rsid w:val="00DC3D7D"/>
    <w:rsid w:val="00DC5E72"/>
    <w:rsid w:val="00DC77F0"/>
    <w:rsid w:val="00DD0BB8"/>
    <w:rsid w:val="00DD235E"/>
    <w:rsid w:val="00DD2A01"/>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5ED6"/>
    <w:rsid w:val="00E30B50"/>
    <w:rsid w:val="00E36A36"/>
    <w:rsid w:val="00E3710F"/>
    <w:rsid w:val="00E43290"/>
    <w:rsid w:val="00E44CAB"/>
    <w:rsid w:val="00E46C74"/>
    <w:rsid w:val="00E47FD1"/>
    <w:rsid w:val="00E514BC"/>
    <w:rsid w:val="00E52FE5"/>
    <w:rsid w:val="00E60A0D"/>
    <w:rsid w:val="00E62E4E"/>
    <w:rsid w:val="00E65842"/>
    <w:rsid w:val="00E7113D"/>
    <w:rsid w:val="00E74421"/>
    <w:rsid w:val="00E747C0"/>
    <w:rsid w:val="00E76A22"/>
    <w:rsid w:val="00E95079"/>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1084E"/>
    <w:rsid w:val="00F11C21"/>
    <w:rsid w:val="00F13B63"/>
    <w:rsid w:val="00F13E0E"/>
    <w:rsid w:val="00F15C4C"/>
    <w:rsid w:val="00F17732"/>
    <w:rsid w:val="00F209E6"/>
    <w:rsid w:val="00F34583"/>
    <w:rsid w:val="00F43675"/>
    <w:rsid w:val="00F46A33"/>
    <w:rsid w:val="00F5354A"/>
    <w:rsid w:val="00F5363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6836"/>
    <w:rsid w:val="00FB7920"/>
    <w:rsid w:val="00FC2CB8"/>
    <w:rsid w:val="00FC4006"/>
    <w:rsid w:val="00FC567A"/>
    <w:rsid w:val="00FD604F"/>
    <w:rsid w:val="00FD6B63"/>
    <w:rsid w:val="00FD719F"/>
    <w:rsid w:val="00FD72C8"/>
    <w:rsid w:val="00FD78F1"/>
    <w:rsid w:val="00FE0F73"/>
    <w:rsid w:val="00FF2CD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233A-C438-4C36-9407-96970B32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8431</Words>
  <Characters>4807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2025-01-13T08:24:00Z</cp:lastPrinted>
  <dcterms:created xsi:type="dcterms:W3CDTF">2025-08-11T08:40:00Z</dcterms:created>
  <dcterms:modified xsi:type="dcterms:W3CDTF">2025-08-11T08:40:00Z</dcterms:modified>
</cp:coreProperties>
</file>