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E158C" w:rsidRDefault="006E0648" w:rsidP="006E0648">
      <w:pPr>
        <w:contextualSpacing/>
        <w:jc w:val="center"/>
        <w:rPr>
          <w:b/>
        </w:rPr>
      </w:pPr>
      <w:r w:rsidRPr="009E158C">
        <w:rPr>
          <w:b/>
        </w:rPr>
        <w:t>ОБҐРУНТУВАННЯ ТЕХНІЧНИХ ТА ЯКІСНИХ ХАРАКТЕРИСТИК ПРЕДМЕТА</w:t>
      </w:r>
      <w:r w:rsidRPr="009E158C">
        <w:rPr>
          <w:b/>
          <w:lang w:val="ru-RU"/>
        </w:rPr>
        <w:t xml:space="preserve"> </w:t>
      </w:r>
      <w:r w:rsidRPr="009E158C">
        <w:rPr>
          <w:b/>
        </w:rPr>
        <w:t>ЗАКУПІВЛІ, РОЗМІРУ БЮДЖЕТНОГО ПРИЗНАЧЕННЯ, ОЧІКУВАНОЇ</w:t>
      </w:r>
      <w:r w:rsidRPr="009E158C">
        <w:rPr>
          <w:b/>
          <w:lang w:val="ru-RU"/>
        </w:rPr>
        <w:t xml:space="preserve"> </w:t>
      </w:r>
      <w:r w:rsidRPr="009E158C">
        <w:rPr>
          <w:b/>
        </w:rPr>
        <w:t>ВАРТОСТІ ПРЕДМЕТА ЗАКУПІВЛІ</w:t>
      </w:r>
    </w:p>
    <w:p w14:paraId="483AE19F" w14:textId="77777777" w:rsidR="007919B9" w:rsidRPr="009E158C" w:rsidRDefault="006E0648" w:rsidP="006E0648">
      <w:pPr>
        <w:contextualSpacing/>
        <w:jc w:val="center"/>
        <w:rPr>
          <w:b/>
        </w:rPr>
      </w:pPr>
      <w:r w:rsidRPr="009E158C">
        <w:rPr>
          <w:b/>
        </w:rPr>
        <w:t xml:space="preserve">(відповідно до пункту </w:t>
      </w:r>
      <w:r w:rsidR="00673C61" w:rsidRPr="009E158C">
        <w:rPr>
          <w:b/>
        </w:rPr>
        <w:t>4</w:t>
      </w:r>
      <w:r w:rsidR="00673C61" w:rsidRPr="009E158C">
        <w:rPr>
          <w:b/>
          <w:vertAlign w:val="superscript"/>
        </w:rPr>
        <w:t>1</w:t>
      </w:r>
      <w:r w:rsidRPr="009E158C">
        <w:rPr>
          <w:b/>
        </w:rPr>
        <w:t xml:space="preserve"> постанови КМУ від 11.10.2016 № 710 </w:t>
      </w:r>
    </w:p>
    <w:p w14:paraId="15EE5A58" w14:textId="77777777" w:rsidR="006E0648" w:rsidRPr="009E158C" w:rsidRDefault="006E0648" w:rsidP="006E0648">
      <w:pPr>
        <w:contextualSpacing/>
        <w:jc w:val="center"/>
        <w:rPr>
          <w:b/>
        </w:rPr>
      </w:pPr>
      <w:r w:rsidRPr="009E158C">
        <w:rPr>
          <w:b/>
        </w:rPr>
        <w:t>«Про ефективне</w:t>
      </w:r>
      <w:r w:rsidR="007919B9" w:rsidRPr="009E158C">
        <w:rPr>
          <w:b/>
        </w:rPr>
        <w:t xml:space="preserve"> </w:t>
      </w:r>
      <w:r w:rsidRPr="009E158C">
        <w:rPr>
          <w:b/>
        </w:rPr>
        <w:t>використання державних коштів» (зі змінами))</w:t>
      </w:r>
    </w:p>
    <w:p w14:paraId="3942DFD4" w14:textId="77777777" w:rsidR="00C9359B" w:rsidRPr="009E158C" w:rsidRDefault="00C9359B" w:rsidP="007919B9">
      <w:pPr>
        <w:ind w:firstLine="567"/>
        <w:contextualSpacing/>
        <w:jc w:val="both"/>
        <w:rPr>
          <w:b/>
        </w:rPr>
      </w:pPr>
    </w:p>
    <w:p w14:paraId="1074647C" w14:textId="77777777" w:rsidR="002E22B7" w:rsidRPr="009E158C" w:rsidRDefault="006E0648" w:rsidP="007919B9">
      <w:pPr>
        <w:ind w:firstLine="567"/>
        <w:contextualSpacing/>
        <w:jc w:val="both"/>
        <w:rPr>
          <w:b/>
        </w:rPr>
      </w:pPr>
      <w:r w:rsidRPr="009E158C">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E158C" w:rsidRDefault="002E22B7" w:rsidP="007919B9">
      <w:pPr>
        <w:ind w:firstLine="567"/>
        <w:contextualSpacing/>
        <w:jc w:val="both"/>
        <w:rPr>
          <w:b/>
        </w:rPr>
      </w:pPr>
    </w:p>
    <w:p w14:paraId="23F02F84" w14:textId="530E651D" w:rsidR="006E0648" w:rsidRPr="009E158C" w:rsidRDefault="006E0648" w:rsidP="007919B9">
      <w:pPr>
        <w:ind w:firstLine="567"/>
        <w:contextualSpacing/>
        <w:jc w:val="both"/>
      </w:pPr>
      <w:r w:rsidRPr="009E158C">
        <w:rPr>
          <w:b/>
        </w:rPr>
        <w:t xml:space="preserve"> </w:t>
      </w:r>
      <w:r w:rsidR="00290903">
        <w:t xml:space="preserve">Вінницька </w:t>
      </w:r>
      <w:r w:rsidR="00452DA4" w:rsidRPr="009E158C">
        <w:t xml:space="preserve">митниця; вул. </w:t>
      </w:r>
      <w:r w:rsidR="00290903">
        <w:t>Лебединського, 17</w:t>
      </w:r>
      <w:r w:rsidR="00452DA4" w:rsidRPr="009E158C">
        <w:t>,</w:t>
      </w:r>
      <w:r w:rsidR="00290903">
        <w:t xml:space="preserve"> </w:t>
      </w:r>
      <w:r w:rsidR="00452DA4" w:rsidRPr="009E158C">
        <w:t xml:space="preserve">м. </w:t>
      </w:r>
      <w:r w:rsidR="00290903">
        <w:t>Вінниця, Вінницька</w:t>
      </w:r>
      <w:r w:rsidR="00452DA4" w:rsidRPr="009E158C">
        <w:t xml:space="preserve"> область, </w:t>
      </w:r>
      <w:r w:rsidR="00290903">
        <w:t>21034</w:t>
      </w:r>
      <w:r w:rsidRPr="009E158C">
        <w:t xml:space="preserve">; код ЄДРПОУ </w:t>
      </w:r>
      <w:r w:rsidR="006438F8" w:rsidRPr="009E158C">
        <w:t>ВП:</w:t>
      </w:r>
      <w:r w:rsidRPr="009E158C">
        <w:t xml:space="preserve"> 43</w:t>
      </w:r>
      <w:r w:rsidR="00BE601F" w:rsidRPr="009E158C">
        <w:t>9</w:t>
      </w:r>
      <w:r w:rsidRPr="009E158C">
        <w:t>9</w:t>
      </w:r>
      <w:r w:rsidR="00BE601F" w:rsidRPr="009E158C">
        <w:t>75</w:t>
      </w:r>
      <w:r w:rsidR="00290903">
        <w:t>44</w:t>
      </w:r>
      <w:r w:rsidRPr="009E158C">
        <w:t>; категорія замовника – орган державної  влади.</w:t>
      </w:r>
    </w:p>
    <w:p w14:paraId="505BA49B" w14:textId="77777777" w:rsidR="006E0648" w:rsidRPr="009E158C" w:rsidRDefault="006E0648" w:rsidP="007919B9">
      <w:pPr>
        <w:ind w:firstLine="567"/>
        <w:contextualSpacing/>
        <w:jc w:val="both"/>
      </w:pPr>
    </w:p>
    <w:p w14:paraId="12896E25" w14:textId="77777777" w:rsidR="002E22B7" w:rsidRPr="009E158C" w:rsidRDefault="006E0648" w:rsidP="00006754">
      <w:pPr>
        <w:ind w:firstLine="567"/>
        <w:contextualSpacing/>
        <w:jc w:val="both"/>
        <w:rPr>
          <w:b/>
        </w:rPr>
      </w:pPr>
      <w:r w:rsidRPr="009E158C">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E158C" w:rsidRDefault="002E22B7" w:rsidP="00006754">
      <w:pPr>
        <w:ind w:firstLine="567"/>
        <w:contextualSpacing/>
        <w:jc w:val="both"/>
      </w:pPr>
    </w:p>
    <w:p w14:paraId="66C6BD5A" w14:textId="2562E050" w:rsidR="00006754" w:rsidRPr="00290903" w:rsidRDefault="0067200A" w:rsidP="00290903">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bookmarkStart w:id="0" w:name="_GoBack"/>
      <w:r w:rsidRPr="0067200A">
        <w:rPr>
          <w:rFonts w:ascii="Times New Roman" w:eastAsia="Times New Roman" w:hAnsi="Times New Roman" w:cs="Times New Roman"/>
          <w:b w:val="0"/>
          <w:bCs w:val="0"/>
          <w:kern w:val="0"/>
          <w:sz w:val="24"/>
          <w:szCs w:val="24"/>
          <w:lang w:eastAsia="ru-RU"/>
        </w:rPr>
        <w:t>Послуги з охорони</w:t>
      </w:r>
      <w:bookmarkEnd w:id="0"/>
      <w:r w:rsidR="00BB6C20" w:rsidRPr="00290903">
        <w:rPr>
          <w:rFonts w:ascii="Times New Roman" w:eastAsia="Times New Roman" w:hAnsi="Times New Roman" w:cs="Times New Roman"/>
          <w:b w:val="0"/>
          <w:bCs w:val="0"/>
          <w:kern w:val="0"/>
          <w:sz w:val="24"/>
          <w:szCs w:val="24"/>
          <w:lang w:eastAsia="ru-RU"/>
        </w:rPr>
        <w:t xml:space="preserve"> </w:t>
      </w:r>
      <w:r w:rsidR="00D067E2" w:rsidRPr="00290903">
        <w:rPr>
          <w:rFonts w:ascii="Times New Roman" w:eastAsia="Times New Roman" w:hAnsi="Times New Roman" w:cs="Times New Roman"/>
          <w:b w:val="0"/>
          <w:bCs w:val="0"/>
          <w:kern w:val="0"/>
          <w:sz w:val="24"/>
          <w:szCs w:val="24"/>
          <w:lang w:eastAsia="ru-RU"/>
        </w:rPr>
        <w:t xml:space="preserve">за кодом ДК 021:2015: </w:t>
      </w:r>
      <w:r w:rsidRPr="0067200A">
        <w:rPr>
          <w:rFonts w:ascii="Times New Roman" w:eastAsia="Times New Roman" w:hAnsi="Times New Roman" w:cs="Times New Roman"/>
          <w:b w:val="0"/>
          <w:bCs w:val="0"/>
          <w:kern w:val="0"/>
          <w:sz w:val="24"/>
          <w:szCs w:val="24"/>
          <w:lang w:eastAsia="ru-RU"/>
        </w:rPr>
        <w:t>79710000-4 Охоронні послуги</w:t>
      </w:r>
      <w:r w:rsidR="00C908AE" w:rsidRPr="00290903">
        <w:rPr>
          <w:rFonts w:ascii="Times New Roman" w:eastAsia="Times New Roman" w:hAnsi="Times New Roman" w:cs="Times New Roman"/>
          <w:b w:val="0"/>
          <w:bCs w:val="0"/>
          <w:kern w:val="0"/>
          <w:sz w:val="24"/>
          <w:szCs w:val="24"/>
          <w:lang w:eastAsia="ru-RU"/>
        </w:rPr>
        <w:t>.</w:t>
      </w:r>
    </w:p>
    <w:p w14:paraId="715B06E0" w14:textId="77777777" w:rsidR="00006754" w:rsidRPr="009E158C" w:rsidRDefault="00006754" w:rsidP="00006754">
      <w:pPr>
        <w:tabs>
          <w:tab w:val="left" w:pos="360"/>
          <w:tab w:val="left" w:pos="720"/>
        </w:tabs>
        <w:contextualSpacing/>
        <w:jc w:val="both"/>
        <w:rPr>
          <w:rFonts w:eastAsia="Calibri"/>
        </w:rPr>
      </w:pPr>
    </w:p>
    <w:p w14:paraId="4C23AFC4" w14:textId="5259E76A" w:rsidR="00B661EC" w:rsidRPr="009E158C" w:rsidRDefault="007C2BD8" w:rsidP="00C908AE">
      <w:pPr>
        <w:tabs>
          <w:tab w:val="left" w:pos="360"/>
          <w:tab w:val="left" w:pos="567"/>
        </w:tabs>
        <w:contextualSpacing/>
        <w:jc w:val="both"/>
        <w:rPr>
          <w:b/>
        </w:rPr>
      </w:pPr>
      <w:r w:rsidRPr="009E158C">
        <w:rPr>
          <w:rFonts w:eastAsia="Calibri"/>
        </w:rPr>
        <w:t xml:space="preserve"> </w:t>
      </w:r>
      <w:r w:rsidR="00006754" w:rsidRPr="009E158C">
        <w:rPr>
          <w:rFonts w:eastAsia="Calibri"/>
        </w:rPr>
        <w:tab/>
      </w:r>
      <w:r w:rsidR="00006754" w:rsidRPr="009E158C">
        <w:rPr>
          <w:rFonts w:eastAsia="Calibri"/>
        </w:rPr>
        <w:tab/>
      </w:r>
      <w:r w:rsidR="006E0648" w:rsidRPr="009E158C">
        <w:rPr>
          <w:b/>
        </w:rPr>
        <w:t>3. Ідентифікатор закупів</w:t>
      </w:r>
      <w:r w:rsidRPr="009E158C">
        <w:rPr>
          <w:b/>
        </w:rPr>
        <w:t>л</w:t>
      </w:r>
      <w:r w:rsidR="00AF41A4" w:rsidRPr="009E158C">
        <w:rPr>
          <w:b/>
        </w:rPr>
        <w:t>і</w:t>
      </w:r>
      <w:r w:rsidR="006E0648" w:rsidRPr="009E158C">
        <w:rPr>
          <w:b/>
        </w:rPr>
        <w:t xml:space="preserve">: — </w:t>
      </w:r>
      <w:r w:rsidR="0067200A" w:rsidRPr="0067200A">
        <w:rPr>
          <w:b/>
          <w:lang w:val="en-US"/>
        </w:rPr>
        <w:t>UA-2025-02-10-014724-a</w:t>
      </w:r>
    </w:p>
    <w:p w14:paraId="101ADDBA" w14:textId="77777777" w:rsidR="00C908AE" w:rsidRPr="009E158C" w:rsidRDefault="00C908AE" w:rsidP="00C908AE">
      <w:pPr>
        <w:tabs>
          <w:tab w:val="left" w:pos="360"/>
          <w:tab w:val="left" w:pos="567"/>
        </w:tabs>
        <w:contextualSpacing/>
        <w:jc w:val="both"/>
        <w:rPr>
          <w:b/>
        </w:rPr>
      </w:pPr>
    </w:p>
    <w:p w14:paraId="71B8F525" w14:textId="77777777" w:rsidR="00006754" w:rsidRPr="009E158C" w:rsidRDefault="00A0247F" w:rsidP="007919B9">
      <w:pPr>
        <w:ind w:firstLine="567"/>
        <w:contextualSpacing/>
        <w:jc w:val="both"/>
      </w:pPr>
      <w:r w:rsidRPr="009E158C">
        <w:rPr>
          <w:b/>
        </w:rPr>
        <w:t>4. Обґрунтування технічних та якісних характеристик предмета закупівлі:</w:t>
      </w:r>
      <w:r w:rsidRPr="009E158C">
        <w:t xml:space="preserve"> технічні та якісні характеристики предмета закупівлі визначені відповідно до потреб замовника</w:t>
      </w:r>
      <w:r w:rsidR="00006754" w:rsidRPr="009E158C">
        <w:t>.</w:t>
      </w:r>
    </w:p>
    <w:p w14:paraId="117CCF63" w14:textId="77777777" w:rsidR="00CE690A" w:rsidRDefault="00CE690A" w:rsidP="003C0531">
      <w:pPr>
        <w:tabs>
          <w:tab w:val="left" w:pos="7938"/>
          <w:tab w:val="left" w:pos="8505"/>
        </w:tabs>
        <w:jc w:val="center"/>
        <w:rPr>
          <w:b/>
        </w:rPr>
      </w:pPr>
    </w:p>
    <w:p w14:paraId="77DDFA8C" w14:textId="77777777" w:rsidR="00290903" w:rsidRPr="00CE21F4" w:rsidRDefault="00290903" w:rsidP="00290903">
      <w:pPr>
        <w:jc w:val="center"/>
        <w:rPr>
          <w:b/>
          <w:bCs/>
          <w:lang w:eastAsia="uk-UA"/>
        </w:rPr>
      </w:pPr>
      <w:r w:rsidRPr="00CE21F4">
        <w:rPr>
          <w:b/>
          <w:bCs/>
          <w:lang w:eastAsia="uk-UA"/>
        </w:rPr>
        <w:t>ТЕХНІЧНА СПЕЦИФІКАЦІЯ</w:t>
      </w:r>
    </w:p>
    <w:p w14:paraId="1939EFB8" w14:textId="77777777" w:rsidR="0067200A" w:rsidRPr="00E73A2A" w:rsidRDefault="0067200A" w:rsidP="0067200A">
      <w:pPr>
        <w:rPr>
          <w:b/>
          <w:sz w:val="28"/>
          <w:szCs w:val="28"/>
        </w:rPr>
      </w:pPr>
    </w:p>
    <w:tbl>
      <w:tblPr>
        <w:tblW w:w="55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898"/>
        <w:gridCol w:w="1383"/>
        <w:gridCol w:w="1245"/>
        <w:gridCol w:w="1386"/>
        <w:gridCol w:w="1245"/>
        <w:gridCol w:w="1522"/>
        <w:gridCol w:w="1245"/>
      </w:tblGrid>
      <w:tr w:rsidR="0067200A" w:rsidRPr="00E73A2A" w14:paraId="6F16154E" w14:textId="77777777" w:rsidTr="00FF061C">
        <w:trPr>
          <w:trHeight w:val="594"/>
        </w:trPr>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E1D84" w14:textId="77777777" w:rsidR="0067200A" w:rsidRPr="00012614" w:rsidRDefault="0067200A" w:rsidP="00FF061C">
            <w:pPr>
              <w:snapToGrid w:val="0"/>
              <w:spacing w:before="20"/>
              <w:ind w:left="-342"/>
              <w:jc w:val="right"/>
              <w:rPr>
                <w:b/>
                <w:lang w:eastAsia="uk-UA"/>
              </w:rPr>
            </w:pPr>
            <w:r w:rsidRPr="00012614">
              <w:rPr>
                <w:b/>
                <w:lang w:eastAsia="uk-UA"/>
              </w:rPr>
              <w:t>№             з/п</w:t>
            </w: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AF2938" w14:textId="77777777" w:rsidR="0067200A" w:rsidRPr="00012614" w:rsidRDefault="0067200A" w:rsidP="00FF061C">
            <w:pPr>
              <w:snapToGrid w:val="0"/>
              <w:spacing w:before="20"/>
              <w:jc w:val="center"/>
              <w:rPr>
                <w:b/>
                <w:lang w:eastAsia="uk-UA"/>
              </w:rPr>
            </w:pPr>
            <w:r w:rsidRPr="00012614">
              <w:rPr>
                <w:b/>
                <w:lang w:eastAsia="uk-UA"/>
              </w:rPr>
              <w:t>Адреса надання послуг</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D2222" w14:textId="77777777" w:rsidR="0067200A" w:rsidRPr="00E73A2A" w:rsidRDefault="0067200A" w:rsidP="00FF061C">
            <w:pPr>
              <w:rPr>
                <w:rStyle w:val="aff7"/>
              </w:rPr>
            </w:pPr>
            <w:r w:rsidRPr="00E73A2A">
              <w:rPr>
                <w:rStyle w:val="aff7"/>
              </w:rPr>
              <w:t>Вид послуги</w:t>
            </w:r>
          </w:p>
        </w:tc>
        <w:tc>
          <w:tcPr>
            <w:tcW w:w="321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A3558F" w14:textId="77777777" w:rsidR="0067200A" w:rsidRPr="00012614" w:rsidRDefault="0067200A" w:rsidP="00FF061C">
            <w:pPr>
              <w:jc w:val="center"/>
              <w:rPr>
                <w:b/>
                <w:lang w:eastAsia="uk-UA"/>
              </w:rPr>
            </w:pPr>
            <w:r w:rsidRPr="00012614">
              <w:rPr>
                <w:b/>
                <w:lang w:eastAsia="uk-UA"/>
              </w:rPr>
              <w:t>Години надання послуг з охорони приміщень</w:t>
            </w:r>
          </w:p>
        </w:tc>
      </w:tr>
      <w:tr w:rsidR="0067200A" w:rsidRPr="00E73A2A" w14:paraId="7F80476F" w14:textId="77777777" w:rsidTr="00FF061C">
        <w:trPr>
          <w:trHeight w:val="722"/>
        </w:trPr>
        <w:tc>
          <w:tcPr>
            <w:tcW w:w="2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C40AE" w14:textId="77777777" w:rsidR="0067200A" w:rsidRPr="00012614" w:rsidRDefault="0067200A" w:rsidP="00FF061C">
            <w:pPr>
              <w:rPr>
                <w:b/>
                <w:lang w:eastAsia="uk-UA"/>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A2A0D" w14:textId="77777777" w:rsidR="0067200A" w:rsidRPr="00012614" w:rsidRDefault="0067200A" w:rsidP="00FF061C">
            <w:pPr>
              <w:rPr>
                <w:b/>
                <w:lang w:eastAsia="uk-UA"/>
              </w:rPr>
            </w:pP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C2292" w14:textId="77777777" w:rsidR="0067200A" w:rsidRPr="00012614" w:rsidRDefault="0067200A" w:rsidP="00FF061C">
            <w:pPr>
              <w:jc w:val="center"/>
              <w:rPr>
                <w:b/>
                <w:lang w:eastAsia="uk-UA"/>
              </w:rPr>
            </w:pPr>
            <w:r w:rsidRPr="00012614">
              <w:rPr>
                <w:b/>
                <w:lang w:eastAsia="uk-UA"/>
              </w:rPr>
              <w:t>Охоронна</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6F974" w14:textId="77777777" w:rsidR="0067200A" w:rsidRPr="00012614" w:rsidRDefault="0067200A" w:rsidP="00FF061C">
            <w:pPr>
              <w:jc w:val="center"/>
              <w:rPr>
                <w:b/>
                <w:lang w:eastAsia="uk-UA"/>
              </w:rPr>
            </w:pPr>
            <w:r w:rsidRPr="00012614">
              <w:rPr>
                <w:b/>
                <w:lang w:eastAsia="uk-UA"/>
              </w:rPr>
              <w:t>Робочі дні</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CBCBD" w14:textId="77777777" w:rsidR="0067200A" w:rsidRPr="00012614" w:rsidRDefault="0067200A" w:rsidP="00FF061C">
            <w:pPr>
              <w:jc w:val="center"/>
              <w:rPr>
                <w:b/>
                <w:lang w:eastAsia="uk-UA"/>
              </w:rPr>
            </w:pPr>
            <w:r w:rsidRPr="00012614">
              <w:rPr>
                <w:b/>
                <w:lang w:eastAsia="uk-UA"/>
              </w:rPr>
              <w:t>Передвихідні дні</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1AA8D" w14:textId="77777777" w:rsidR="0067200A" w:rsidRPr="00012614" w:rsidRDefault="0067200A" w:rsidP="00FF061C">
            <w:pPr>
              <w:jc w:val="center"/>
              <w:rPr>
                <w:b/>
                <w:lang w:eastAsia="uk-UA"/>
              </w:rPr>
            </w:pPr>
            <w:r w:rsidRPr="00012614">
              <w:rPr>
                <w:b/>
                <w:lang w:eastAsia="uk-UA"/>
              </w:rPr>
              <w:t>Вихідні дні</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8C1DB" w14:textId="77777777" w:rsidR="0067200A" w:rsidRPr="00012614" w:rsidRDefault="0067200A" w:rsidP="00FF061C">
            <w:pPr>
              <w:jc w:val="center"/>
              <w:rPr>
                <w:b/>
                <w:lang w:eastAsia="uk-UA"/>
              </w:rPr>
            </w:pPr>
            <w:r w:rsidRPr="00012614">
              <w:rPr>
                <w:b/>
                <w:lang w:eastAsia="uk-UA"/>
              </w:rPr>
              <w:t>Передсвяткові дні</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1D835" w14:textId="77777777" w:rsidR="0067200A" w:rsidRPr="00012614" w:rsidRDefault="0067200A" w:rsidP="00FF061C">
            <w:pPr>
              <w:jc w:val="center"/>
              <w:rPr>
                <w:b/>
                <w:lang w:eastAsia="uk-UA"/>
              </w:rPr>
            </w:pPr>
            <w:r w:rsidRPr="00012614">
              <w:rPr>
                <w:b/>
                <w:lang w:eastAsia="uk-UA"/>
              </w:rPr>
              <w:t>Святкові дні</w:t>
            </w:r>
          </w:p>
        </w:tc>
      </w:tr>
      <w:tr w:rsidR="0067200A" w:rsidRPr="00E73A2A" w14:paraId="7CEF678E" w14:textId="77777777" w:rsidTr="00FF061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179E3" w14:textId="77777777" w:rsidR="0067200A" w:rsidRPr="00E73A2A" w:rsidRDefault="0067200A" w:rsidP="00FF061C">
            <w:pPr>
              <w:snapToGrid w:val="0"/>
              <w:jc w:val="center"/>
              <w:rPr>
                <w:lang w:eastAsia="uk-UA"/>
              </w:rPr>
            </w:pPr>
            <w:r w:rsidRPr="00E73A2A">
              <w:rPr>
                <w:lang w:eastAsia="uk-UA"/>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DF061" w14:textId="77777777" w:rsidR="0067200A" w:rsidRPr="00012614" w:rsidRDefault="0067200A" w:rsidP="00FF061C">
            <w:pPr>
              <w:rPr>
                <w:sz w:val="22"/>
                <w:szCs w:val="22"/>
              </w:rPr>
            </w:pPr>
            <w:r w:rsidRPr="00012614">
              <w:rPr>
                <w:sz w:val="22"/>
                <w:szCs w:val="22"/>
              </w:rPr>
              <w:t>Вінницька область, м. Вінниця,  вул. Лебединського, 17 (адміністративне приміщення митниці)</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42B76E8" w14:textId="77777777" w:rsidR="0067200A" w:rsidRPr="00012614" w:rsidRDefault="0067200A" w:rsidP="00FF061C">
            <w:pPr>
              <w:rPr>
                <w:sz w:val="22"/>
                <w:szCs w:val="22"/>
              </w:rPr>
            </w:pPr>
            <w:r w:rsidRPr="00012614">
              <w:rPr>
                <w:sz w:val="22"/>
                <w:szCs w:val="22"/>
              </w:rPr>
              <w:t>ПЦС GPRS/GSM-канал зв'язку тривожна сигналізація</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D6891" w14:textId="77777777" w:rsidR="0067200A" w:rsidRPr="00E73A2A" w:rsidRDefault="0067200A" w:rsidP="00FF061C">
            <w:pPr>
              <w:jc w:val="center"/>
              <w:rPr>
                <w:lang w:eastAsia="uk-UA"/>
              </w:rPr>
            </w:pPr>
            <w:r w:rsidRPr="00E73A2A">
              <w:rPr>
                <w:lang w:eastAsia="uk-UA"/>
              </w:rPr>
              <w:t>17.00-8.00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144B1"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4EEC1" w14:textId="77777777" w:rsidR="0067200A" w:rsidRPr="00E73A2A" w:rsidRDefault="0067200A" w:rsidP="00FF061C">
            <w:pPr>
              <w:jc w:val="center"/>
              <w:rPr>
                <w:lang w:eastAsia="uk-UA"/>
              </w:rPr>
            </w:pPr>
            <w:r w:rsidRPr="00E73A2A">
              <w:rPr>
                <w:lang w:eastAsia="uk-UA"/>
              </w:rPr>
              <w:t>8.00-8.00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83249"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E01FE" w14:textId="77777777" w:rsidR="0067200A" w:rsidRPr="00E73A2A" w:rsidRDefault="0067200A" w:rsidP="00FF061C">
            <w:pPr>
              <w:jc w:val="center"/>
              <w:rPr>
                <w:lang w:eastAsia="uk-UA"/>
              </w:rPr>
            </w:pPr>
            <w:r w:rsidRPr="00E73A2A">
              <w:rPr>
                <w:lang w:eastAsia="uk-UA"/>
              </w:rPr>
              <w:t>8.00-8.00</w:t>
            </w:r>
          </w:p>
        </w:tc>
      </w:tr>
      <w:tr w:rsidR="0067200A" w:rsidRPr="00E73A2A" w14:paraId="0C00CC9E" w14:textId="77777777" w:rsidTr="00FF061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49D36" w14:textId="77777777" w:rsidR="0067200A" w:rsidRPr="00E73A2A" w:rsidRDefault="0067200A" w:rsidP="00FF061C">
            <w:pPr>
              <w:snapToGrid w:val="0"/>
              <w:jc w:val="center"/>
              <w:rPr>
                <w:lang w:eastAsia="uk-UA"/>
              </w:rPr>
            </w:pPr>
            <w:r w:rsidRPr="00E73A2A">
              <w:rPr>
                <w:lang w:eastAsia="uk-UA"/>
              </w:rPr>
              <w:t>2</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FE660" w14:textId="77777777" w:rsidR="0067200A" w:rsidRPr="00012614" w:rsidRDefault="0067200A" w:rsidP="00FF061C">
            <w:pPr>
              <w:rPr>
                <w:sz w:val="22"/>
                <w:szCs w:val="22"/>
              </w:rPr>
            </w:pPr>
            <w:r w:rsidRPr="00012614">
              <w:rPr>
                <w:sz w:val="22"/>
                <w:szCs w:val="22"/>
              </w:rPr>
              <w:t>Вінницька область, м. Ямпіль, вул. Савіна,25 (адміністративне приміщення м/п «Ямпіль»)</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4365CED6" w14:textId="77777777" w:rsidR="0067200A" w:rsidRPr="00012614" w:rsidRDefault="0067200A" w:rsidP="00FF061C">
            <w:pPr>
              <w:rPr>
                <w:sz w:val="22"/>
                <w:szCs w:val="22"/>
              </w:rPr>
            </w:pPr>
            <w:r w:rsidRPr="00012614">
              <w:rPr>
                <w:sz w:val="22"/>
                <w:szCs w:val="22"/>
              </w:rPr>
              <w:t>ПЦС GPRS/GSM-канал зв'язку</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CB90A" w14:textId="77777777" w:rsidR="0067200A" w:rsidRPr="00E73A2A" w:rsidRDefault="0067200A" w:rsidP="00FF061C">
            <w:pPr>
              <w:jc w:val="center"/>
              <w:rPr>
                <w:lang w:eastAsia="uk-UA"/>
              </w:rPr>
            </w:pPr>
            <w:r w:rsidRPr="00E73A2A">
              <w:rPr>
                <w:lang w:eastAsia="uk-UA"/>
              </w:rPr>
              <w:t>17.00-8.00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3918B"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36454" w14:textId="77777777" w:rsidR="0067200A" w:rsidRPr="00E73A2A" w:rsidRDefault="0067200A" w:rsidP="00FF061C">
            <w:pPr>
              <w:jc w:val="center"/>
              <w:rPr>
                <w:lang w:eastAsia="uk-UA"/>
              </w:rPr>
            </w:pPr>
            <w:r w:rsidRPr="00E73A2A">
              <w:rPr>
                <w:lang w:eastAsia="uk-UA"/>
              </w:rPr>
              <w:t>8.00-8.00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CB465"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16447" w14:textId="77777777" w:rsidR="0067200A" w:rsidRPr="00E73A2A" w:rsidRDefault="0067200A" w:rsidP="00FF061C">
            <w:pPr>
              <w:jc w:val="center"/>
              <w:rPr>
                <w:lang w:eastAsia="uk-UA"/>
              </w:rPr>
            </w:pPr>
            <w:r w:rsidRPr="00E73A2A">
              <w:rPr>
                <w:lang w:eastAsia="uk-UA"/>
              </w:rPr>
              <w:t>8.00-8.00</w:t>
            </w:r>
          </w:p>
        </w:tc>
      </w:tr>
      <w:tr w:rsidR="0067200A" w:rsidRPr="00E73A2A" w14:paraId="71EC5CEC" w14:textId="77777777" w:rsidTr="00FF061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66E31" w14:textId="77777777" w:rsidR="0067200A" w:rsidRPr="00E73A2A" w:rsidRDefault="0067200A" w:rsidP="00FF061C">
            <w:pPr>
              <w:snapToGrid w:val="0"/>
              <w:jc w:val="center"/>
              <w:rPr>
                <w:lang w:eastAsia="uk-UA"/>
              </w:rPr>
            </w:pPr>
            <w:r w:rsidRPr="00E73A2A">
              <w:rPr>
                <w:lang w:eastAsia="uk-UA"/>
              </w:rPr>
              <w:t>3</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E0866" w14:textId="77777777" w:rsidR="0067200A" w:rsidRPr="00012614" w:rsidRDefault="0067200A" w:rsidP="00FF061C">
            <w:pPr>
              <w:rPr>
                <w:sz w:val="22"/>
                <w:szCs w:val="22"/>
              </w:rPr>
            </w:pPr>
            <w:r w:rsidRPr="00012614">
              <w:rPr>
                <w:sz w:val="22"/>
                <w:szCs w:val="22"/>
              </w:rPr>
              <w:t xml:space="preserve">Вінницька область, смт. Піщанка,  вул. Центральна,40 (адміністративне </w:t>
            </w:r>
            <w:r w:rsidRPr="00012614">
              <w:rPr>
                <w:sz w:val="22"/>
                <w:szCs w:val="22"/>
              </w:rPr>
              <w:lastRenderedPageBreak/>
              <w:t>приміщення м/п «Піщанка»)</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3984E62E" w14:textId="77777777" w:rsidR="0067200A" w:rsidRPr="00012614" w:rsidRDefault="0067200A" w:rsidP="00FF061C">
            <w:pPr>
              <w:rPr>
                <w:sz w:val="22"/>
                <w:szCs w:val="22"/>
              </w:rPr>
            </w:pPr>
            <w:r w:rsidRPr="00012614">
              <w:rPr>
                <w:sz w:val="22"/>
                <w:szCs w:val="22"/>
              </w:rPr>
              <w:lastRenderedPageBreak/>
              <w:t xml:space="preserve">ПЦС GPRS/GSM-канал зв'язку </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7F443C" w14:textId="77777777" w:rsidR="0067200A" w:rsidRPr="00E73A2A" w:rsidRDefault="0067200A" w:rsidP="00FF061C">
            <w:pPr>
              <w:jc w:val="center"/>
              <w:rPr>
                <w:lang w:eastAsia="uk-UA"/>
              </w:rPr>
            </w:pPr>
            <w:r w:rsidRPr="00E73A2A">
              <w:rPr>
                <w:lang w:eastAsia="uk-UA"/>
              </w:rPr>
              <w:t>17.00-8.00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97D40"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6D6B7" w14:textId="77777777" w:rsidR="0067200A" w:rsidRPr="00E73A2A" w:rsidRDefault="0067200A" w:rsidP="00FF061C">
            <w:pPr>
              <w:jc w:val="center"/>
              <w:rPr>
                <w:lang w:eastAsia="uk-UA"/>
              </w:rPr>
            </w:pPr>
            <w:r w:rsidRPr="00E73A2A">
              <w:rPr>
                <w:lang w:eastAsia="uk-UA"/>
              </w:rPr>
              <w:t>8.00-8.00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81BD9"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126DA" w14:textId="77777777" w:rsidR="0067200A" w:rsidRPr="00E73A2A" w:rsidRDefault="0067200A" w:rsidP="00FF061C">
            <w:pPr>
              <w:jc w:val="center"/>
              <w:rPr>
                <w:lang w:eastAsia="uk-UA"/>
              </w:rPr>
            </w:pPr>
            <w:r w:rsidRPr="00E73A2A">
              <w:rPr>
                <w:lang w:eastAsia="uk-UA"/>
              </w:rPr>
              <w:t>8.00-8.00</w:t>
            </w:r>
          </w:p>
        </w:tc>
      </w:tr>
      <w:tr w:rsidR="0067200A" w:rsidRPr="00E73A2A" w14:paraId="7AAE6A8F" w14:textId="77777777" w:rsidTr="00FF061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5C0E0" w14:textId="77777777" w:rsidR="0067200A" w:rsidRPr="00E73A2A" w:rsidRDefault="0067200A" w:rsidP="00FF061C">
            <w:pPr>
              <w:snapToGrid w:val="0"/>
              <w:jc w:val="center"/>
              <w:rPr>
                <w:lang w:eastAsia="uk-UA"/>
              </w:rPr>
            </w:pPr>
            <w:r w:rsidRPr="00E73A2A">
              <w:rPr>
                <w:lang w:eastAsia="uk-UA"/>
              </w:rPr>
              <w:t>4</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4FDA8" w14:textId="77777777" w:rsidR="0067200A" w:rsidRPr="00012614" w:rsidRDefault="0067200A" w:rsidP="00FF061C">
            <w:pPr>
              <w:rPr>
                <w:sz w:val="22"/>
                <w:szCs w:val="22"/>
              </w:rPr>
            </w:pPr>
            <w:r w:rsidRPr="00012614">
              <w:rPr>
                <w:sz w:val="22"/>
                <w:szCs w:val="22"/>
              </w:rPr>
              <w:t>Вінницька область, м. Могилів – Подільський вул. Спортивна,175 (складські приміщення м/п «Дністер»)</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4073FD48" w14:textId="77777777" w:rsidR="0067200A" w:rsidRPr="00012614" w:rsidRDefault="0067200A" w:rsidP="00FF061C">
            <w:pPr>
              <w:rPr>
                <w:sz w:val="22"/>
                <w:szCs w:val="22"/>
              </w:rPr>
            </w:pPr>
            <w:r w:rsidRPr="00012614">
              <w:rPr>
                <w:sz w:val="22"/>
                <w:szCs w:val="22"/>
              </w:rPr>
              <w:t>ПЦС GPRS/GSM-канал зв'язку</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9889" w14:textId="77777777" w:rsidR="0067200A" w:rsidRPr="00E73A2A" w:rsidRDefault="0067200A" w:rsidP="00FF061C">
            <w:pPr>
              <w:jc w:val="center"/>
              <w:rPr>
                <w:lang w:eastAsia="uk-UA"/>
              </w:rPr>
            </w:pPr>
            <w:r w:rsidRPr="00E73A2A">
              <w:rPr>
                <w:lang w:eastAsia="uk-UA"/>
              </w:rPr>
              <w:t>17.00-8.00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09064"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03741" w14:textId="77777777" w:rsidR="0067200A" w:rsidRPr="00E73A2A" w:rsidRDefault="0067200A" w:rsidP="00FF061C">
            <w:pPr>
              <w:jc w:val="center"/>
              <w:rPr>
                <w:lang w:eastAsia="uk-UA"/>
              </w:rPr>
            </w:pPr>
            <w:r w:rsidRPr="00E73A2A">
              <w:rPr>
                <w:lang w:eastAsia="uk-UA"/>
              </w:rPr>
              <w:t>8.00-8.00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473E1"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E7293" w14:textId="77777777" w:rsidR="0067200A" w:rsidRPr="00E73A2A" w:rsidRDefault="0067200A" w:rsidP="00FF061C">
            <w:pPr>
              <w:jc w:val="center"/>
              <w:rPr>
                <w:lang w:eastAsia="uk-UA"/>
              </w:rPr>
            </w:pPr>
            <w:r w:rsidRPr="00E73A2A">
              <w:rPr>
                <w:lang w:eastAsia="uk-UA"/>
              </w:rPr>
              <w:t>8.00-8.00</w:t>
            </w:r>
          </w:p>
        </w:tc>
      </w:tr>
      <w:tr w:rsidR="0067200A" w:rsidRPr="00E73A2A" w14:paraId="7A605363" w14:textId="77777777" w:rsidTr="00FF061C">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14:paraId="103AE537" w14:textId="77777777" w:rsidR="0067200A" w:rsidRPr="00E73A2A" w:rsidRDefault="0067200A" w:rsidP="00FF061C">
            <w:pPr>
              <w:snapToGrid w:val="0"/>
              <w:jc w:val="center"/>
              <w:rPr>
                <w:lang w:eastAsia="uk-UA"/>
              </w:rPr>
            </w:pPr>
            <w:r>
              <w:rPr>
                <w:lang w:eastAsia="uk-UA"/>
              </w:rPr>
              <w:t>5</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E782CCC" w14:textId="77777777" w:rsidR="0067200A" w:rsidRPr="00012614" w:rsidRDefault="0067200A" w:rsidP="00FF061C">
            <w:pPr>
              <w:rPr>
                <w:sz w:val="22"/>
                <w:szCs w:val="22"/>
              </w:rPr>
            </w:pPr>
            <w:r w:rsidRPr="00012614">
              <w:rPr>
                <w:sz w:val="22"/>
                <w:szCs w:val="22"/>
              </w:rPr>
              <w:t>Вінницька область, м. Могилів – Подільський вул. Спортивна,175 (</w:t>
            </w:r>
            <w:r>
              <w:rPr>
                <w:sz w:val="22"/>
                <w:szCs w:val="22"/>
              </w:rPr>
              <w:t xml:space="preserve">адміністративне </w:t>
            </w:r>
            <w:r w:rsidRPr="00012614">
              <w:rPr>
                <w:sz w:val="22"/>
                <w:szCs w:val="22"/>
              </w:rPr>
              <w:t>приміщення м/п «Дністер»)</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35B6255" w14:textId="77777777" w:rsidR="0067200A" w:rsidRPr="00012614" w:rsidRDefault="0067200A" w:rsidP="00FF061C">
            <w:pPr>
              <w:rPr>
                <w:sz w:val="22"/>
                <w:szCs w:val="22"/>
              </w:rPr>
            </w:pPr>
            <w:r w:rsidRPr="00012614">
              <w:rPr>
                <w:sz w:val="22"/>
                <w:szCs w:val="22"/>
              </w:rPr>
              <w:t>ПЦС GPRS/GSM-канал зв'язку тривожна сигналізація</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3D810A7" w14:textId="77777777" w:rsidR="0067200A" w:rsidRPr="00E73A2A" w:rsidRDefault="0067200A" w:rsidP="00FF061C">
            <w:pPr>
              <w:jc w:val="center"/>
              <w:rPr>
                <w:lang w:eastAsia="uk-UA"/>
              </w:rPr>
            </w:pPr>
            <w:r w:rsidRPr="00E73A2A">
              <w:rPr>
                <w:lang w:eastAsia="uk-UA"/>
              </w:rPr>
              <w:t>17.00-8.00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13038BDF"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0A199C24" w14:textId="77777777" w:rsidR="0067200A" w:rsidRPr="00E73A2A" w:rsidRDefault="0067200A" w:rsidP="00FF061C">
            <w:pPr>
              <w:jc w:val="center"/>
              <w:rPr>
                <w:lang w:eastAsia="uk-UA"/>
              </w:rPr>
            </w:pPr>
            <w:r w:rsidRPr="00E73A2A">
              <w:rPr>
                <w:lang w:eastAsia="uk-UA"/>
              </w:rPr>
              <w:t>8.00-8.00</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387D86A" w14:textId="77777777" w:rsidR="0067200A" w:rsidRPr="00E73A2A" w:rsidRDefault="0067200A" w:rsidP="00FF061C">
            <w:pPr>
              <w:jc w:val="center"/>
              <w:rPr>
                <w:lang w:eastAsia="uk-UA"/>
              </w:rPr>
            </w:pPr>
            <w:r w:rsidRPr="00E73A2A">
              <w:rPr>
                <w:lang w:eastAsia="uk-UA"/>
              </w:rPr>
              <w:t>17.00-8.00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5D860AFC" w14:textId="77777777" w:rsidR="0067200A" w:rsidRPr="00E73A2A" w:rsidRDefault="0067200A" w:rsidP="00FF061C">
            <w:pPr>
              <w:jc w:val="center"/>
              <w:rPr>
                <w:lang w:eastAsia="uk-UA"/>
              </w:rPr>
            </w:pPr>
            <w:r w:rsidRPr="00E73A2A">
              <w:rPr>
                <w:lang w:eastAsia="uk-UA"/>
              </w:rPr>
              <w:t>8.00-8.00</w:t>
            </w:r>
          </w:p>
        </w:tc>
      </w:tr>
    </w:tbl>
    <w:p w14:paraId="5C6C081B" w14:textId="77777777" w:rsidR="0067200A" w:rsidRPr="00E73A2A" w:rsidRDefault="0067200A" w:rsidP="0067200A">
      <w:pPr>
        <w:widowControl w:val="0"/>
        <w:tabs>
          <w:tab w:val="left" w:pos="0"/>
          <w:tab w:val="left" w:pos="180"/>
        </w:tabs>
        <w:ind w:right="20"/>
        <w:contextualSpacing/>
        <w:jc w:val="both"/>
        <w:rPr>
          <w:rFonts w:eastAsia="Calibri"/>
          <w:b/>
          <w:sz w:val="28"/>
          <w:szCs w:val="28"/>
          <w:lang w:eastAsia="uk-UA" w:bidi="uk-UA"/>
        </w:rPr>
      </w:pPr>
    </w:p>
    <w:p w14:paraId="377FD97D" w14:textId="77777777" w:rsidR="0067200A" w:rsidRPr="00E73A2A" w:rsidRDefault="0067200A" w:rsidP="0067200A">
      <w:pPr>
        <w:widowControl w:val="0"/>
        <w:tabs>
          <w:tab w:val="left" w:pos="0"/>
          <w:tab w:val="left" w:pos="180"/>
        </w:tabs>
        <w:ind w:right="20"/>
        <w:contextualSpacing/>
        <w:jc w:val="both"/>
        <w:rPr>
          <w:rFonts w:eastAsia="Calibri"/>
          <w:b/>
          <w:sz w:val="28"/>
          <w:szCs w:val="28"/>
          <w:lang w:eastAsia="uk-UA" w:bidi="uk-UA"/>
        </w:rPr>
      </w:pPr>
    </w:p>
    <w:p w14:paraId="3EC7568B" w14:textId="77777777" w:rsidR="0067200A" w:rsidRPr="0067200A" w:rsidRDefault="0067200A" w:rsidP="0067200A">
      <w:pPr>
        <w:widowControl w:val="0"/>
        <w:tabs>
          <w:tab w:val="left" w:pos="0"/>
          <w:tab w:val="left" w:pos="180"/>
        </w:tabs>
        <w:spacing w:after="200"/>
        <w:ind w:right="20" w:firstLine="720"/>
        <w:contextualSpacing/>
        <w:jc w:val="both"/>
        <w:rPr>
          <w:rFonts w:eastAsia="Calibri"/>
          <w:lang w:eastAsia="uk-UA" w:bidi="uk-UA"/>
        </w:rPr>
      </w:pPr>
      <w:r w:rsidRPr="0067200A">
        <w:rPr>
          <w:rFonts w:eastAsia="Calibri"/>
          <w:lang w:eastAsia="uk-UA" w:bidi="uk-UA"/>
        </w:rPr>
        <w:t xml:space="preserve">Учасник зобов’язується підключити наявні технічні засоби </w:t>
      </w:r>
      <w:r w:rsidRPr="0067200A">
        <w:rPr>
          <w:rFonts w:eastAsia="Calibri"/>
          <w:lang w:eastAsia="en-US"/>
        </w:rPr>
        <w:t>охоронної сигналізації</w:t>
      </w:r>
      <w:r w:rsidRPr="0067200A">
        <w:rPr>
          <w:rFonts w:eastAsia="Calibri"/>
          <w:lang w:eastAsia="uk-UA" w:bidi="uk-UA"/>
        </w:rPr>
        <w:t xml:space="preserve"> Замовника на власний пульт централізованого спостереження (далі – ПЦС), що входить в ціну договору.</w:t>
      </w:r>
    </w:p>
    <w:p w14:paraId="004FECF0" w14:textId="77777777" w:rsidR="0067200A" w:rsidRPr="0067200A" w:rsidRDefault="0067200A" w:rsidP="0067200A">
      <w:pPr>
        <w:widowControl w:val="0"/>
        <w:tabs>
          <w:tab w:val="left" w:pos="0"/>
          <w:tab w:val="left" w:pos="180"/>
        </w:tabs>
        <w:spacing w:after="200"/>
        <w:ind w:right="20" w:firstLine="720"/>
        <w:contextualSpacing/>
        <w:jc w:val="both"/>
        <w:rPr>
          <w:rFonts w:eastAsia="Calibri"/>
          <w:lang w:eastAsia="uk-UA" w:bidi="uk-UA"/>
        </w:rPr>
      </w:pPr>
      <w:r w:rsidRPr="0067200A">
        <w:rPr>
          <w:rFonts w:eastAsia="Calibri"/>
          <w:lang w:eastAsia="uk-UA" w:bidi="uk-UA"/>
        </w:rPr>
        <w:t xml:space="preserve">Забезпечити наявність груп швидкого реагування (далі – ГШР) у складі не менше двох осіб на спеціальному транспорті реагування, який призначений для охорони об’єктів, підключених до пунктів централізованого спостереження, шляхом оперативного реагування на повідомлення про спрацювання сигналізації або інші повідомлення про правопорушення з метою припинення дії факторів протиправного характеру. Охоронці у складі ГШР повинні бути одягнені у форму, яка надає можливість ідентифікувати приналежність до Виконавця (символіка, значки), мати при собі посвідчення, засоби зв’язку та спеціальні засоби. </w:t>
      </w:r>
    </w:p>
    <w:p w14:paraId="15416FE2" w14:textId="77777777" w:rsidR="0067200A" w:rsidRPr="0067200A" w:rsidRDefault="0067200A" w:rsidP="0067200A">
      <w:pPr>
        <w:widowControl w:val="0"/>
        <w:tabs>
          <w:tab w:val="left" w:pos="0"/>
          <w:tab w:val="left" w:pos="180"/>
        </w:tabs>
        <w:spacing w:after="200"/>
        <w:ind w:right="20" w:firstLine="720"/>
        <w:contextualSpacing/>
        <w:jc w:val="both"/>
        <w:rPr>
          <w:rFonts w:eastAsia="Calibri"/>
          <w:lang w:eastAsia="uk-UA" w:bidi="uk-UA"/>
        </w:rPr>
      </w:pPr>
      <w:r w:rsidRPr="0067200A">
        <w:rPr>
          <w:rFonts w:eastAsia="Calibri"/>
          <w:lang w:eastAsia="uk-UA" w:bidi="uk-UA"/>
        </w:rPr>
        <w:t xml:space="preserve">Охоронці Учасника мають пройти навчання та транспорт реагування повинен відповідати вимогам </w:t>
      </w:r>
      <w:r w:rsidRPr="0067200A">
        <w:rPr>
          <w:rStyle w:val="customfontstyle"/>
        </w:rPr>
        <w:t xml:space="preserve">Закону України «Про охоронну діяльність» від </w:t>
      </w:r>
      <w:r w:rsidRPr="0067200A">
        <w:rPr>
          <w:rStyle w:val="rvts44"/>
          <w:bCs/>
        </w:rPr>
        <w:t>22 березня 2012 року № 4616-VI та</w:t>
      </w:r>
      <w:r w:rsidRPr="0067200A">
        <w:t xml:space="preserve"> Ліцензійних </w:t>
      </w:r>
      <w:r w:rsidRPr="0067200A">
        <w:rPr>
          <w:bCs/>
        </w:rPr>
        <w:t xml:space="preserve">умов провадження охоронної діяльності, затверджених </w:t>
      </w:r>
      <w:r w:rsidRPr="0067200A">
        <w:t>Постановою Кабінету Міністрів України від 18.11.2015 №960.</w:t>
      </w:r>
    </w:p>
    <w:p w14:paraId="0A6DE987" w14:textId="77777777" w:rsidR="0067200A" w:rsidRPr="0067200A" w:rsidRDefault="0067200A" w:rsidP="0067200A">
      <w:pPr>
        <w:spacing w:after="200"/>
        <w:ind w:firstLine="720"/>
        <w:contextualSpacing/>
        <w:jc w:val="both"/>
        <w:rPr>
          <w:rFonts w:eastAsia="Calibri"/>
          <w:lang w:eastAsia="en-US"/>
        </w:rPr>
      </w:pPr>
      <w:r w:rsidRPr="0067200A">
        <w:rPr>
          <w:rFonts w:eastAsia="Calibri"/>
          <w:lang w:eastAsia="en-US"/>
        </w:rPr>
        <w:t>У разі надходження на ПЦС сигналу «тривога» про спрацювання охоронної сигналізації на відповідному Об’єкті в період охорони:</w:t>
      </w:r>
    </w:p>
    <w:p w14:paraId="35A49945" w14:textId="77777777" w:rsidR="0067200A" w:rsidRPr="00E73A2A" w:rsidRDefault="0067200A" w:rsidP="0067200A">
      <w:pPr>
        <w:spacing w:after="200"/>
        <w:ind w:firstLine="720"/>
        <w:contextualSpacing/>
        <w:jc w:val="both"/>
        <w:rPr>
          <w:rFonts w:eastAsia="Calibri"/>
          <w:lang w:eastAsia="en-US"/>
        </w:rPr>
      </w:pPr>
      <w:r w:rsidRPr="0067200A">
        <w:rPr>
          <w:rFonts w:eastAsia="Calibri"/>
          <w:lang w:eastAsia="en-US"/>
        </w:rPr>
        <w:t>негайно направити на Об'єкт ГШР для вжиття заходів, спрямованих на встановлення причин спрацювання сигналізації, та відповідних дій ГШР в межах наданих законодавством України повноважень;</w:t>
      </w:r>
    </w:p>
    <w:p w14:paraId="0698C511"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забезпечити прибуття ГШР на Об’єкт Замовника у випадку спрацювання сигналізації у найкоротший термін (до десяти хвилин);</w:t>
      </w:r>
    </w:p>
    <w:p w14:paraId="2DCCD06E"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у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2564C8BB"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виявляти, попереджувати та не допускати пошкодження, псування та втрат майна, переданого під охорону;</w:t>
      </w:r>
    </w:p>
    <w:p w14:paraId="26756D53"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у разі виявлення слідів проникнення на Об’єкт або спроб проникнення на Об’єкт сповістити про це Замовника;</w:t>
      </w:r>
    </w:p>
    <w:p w14:paraId="01EFD642"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у разі виявлення на Об’єкті в період охорони будь-яких осіб - протидіяти правопорушникам і негайно повідомляти органи Національної поліції про вчинення кримінального або адміністративного правопорушення;</w:t>
      </w:r>
    </w:p>
    <w:p w14:paraId="68FB51EE"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припиняти правопорушення проти власності шляхом здійснення заходів реагування;</w:t>
      </w:r>
    </w:p>
    <w:p w14:paraId="0C82FAE6"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lastRenderedPageBreak/>
        <w:t>негайно у будь-який спосіб повідомляти відповідні правоохоронні органи про вчинення протиправних дій фізичних осіб щодо власності та інших незаконних дій, що мають ознаки кримінального правопорушення, у місцях здійснення заходів охорони;</w:t>
      </w:r>
    </w:p>
    <w:p w14:paraId="17DFEF19"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забезпечити охорону майна (цілісність та недоторканість) на Об’єкті після спрацювання сигналізації до прибуття на Об’єкт Замовника;</w:t>
      </w:r>
    </w:p>
    <w:p w14:paraId="04E445A3"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у разі виявлення фактів втрати майна, знищення або пошкодження елементів об'єкту охорони негайно повідомити Замовника і відповідні органи дізнання та забезпечити недоторканність місця події;</w:t>
      </w:r>
    </w:p>
    <w:p w14:paraId="4450307E"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Здійснювати технічне та програмне обслуговування системи охоронної сигналізації упродовж дії Договору не менше 1 (одного) разу на місяць та, за необхідності, на вимогу Замовника, вести облік такого обслуговування в спеціальному журналі.</w:t>
      </w:r>
    </w:p>
    <w:p w14:paraId="5361270A"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Якісно та своєчасно ліквідовувати несправності, які можуть бути усунуті безпосередньо за місцем знаходження сигналізації, за заявкою Замовника.</w:t>
      </w:r>
    </w:p>
    <w:p w14:paraId="51239F98" w14:textId="77777777" w:rsidR="0067200A" w:rsidRPr="00E73A2A" w:rsidRDefault="0067200A" w:rsidP="0067200A">
      <w:pPr>
        <w:spacing w:after="200"/>
        <w:ind w:firstLine="720"/>
        <w:contextualSpacing/>
        <w:jc w:val="both"/>
        <w:rPr>
          <w:rFonts w:eastAsia="Calibri"/>
          <w:lang w:eastAsia="en-US"/>
        </w:rPr>
      </w:pPr>
      <w:r w:rsidRPr="00E73A2A">
        <w:rPr>
          <w:rFonts w:eastAsia="Calibri"/>
          <w:lang w:eastAsia="en-US"/>
        </w:rPr>
        <w:t>Не 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w:t>
      </w:r>
    </w:p>
    <w:p w14:paraId="5EAE78D0" w14:textId="77777777" w:rsidR="0067200A" w:rsidRPr="00E73A2A" w:rsidRDefault="0067200A" w:rsidP="0067200A">
      <w:pPr>
        <w:widowControl w:val="0"/>
        <w:ind w:firstLine="339"/>
        <w:contextualSpacing/>
        <w:jc w:val="both"/>
        <w:rPr>
          <w:b/>
          <w:i/>
        </w:rPr>
      </w:pPr>
      <w:r w:rsidRPr="00E73A2A">
        <w:rPr>
          <w:rFonts w:eastAsia="Calibri"/>
          <w:lang w:eastAsia="en-US"/>
        </w:rPr>
        <w:t>Інструктувати уповноважених осіб Замовника про порядок та правила користування сигналізацією.</w:t>
      </w:r>
      <w:r w:rsidRPr="00E73A2A">
        <w:rPr>
          <w:b/>
          <w:i/>
        </w:rPr>
        <w:t xml:space="preserve"> </w:t>
      </w:r>
    </w:p>
    <w:p w14:paraId="665DA14C" w14:textId="77777777" w:rsidR="0067200A" w:rsidRPr="00E73A2A" w:rsidRDefault="0067200A" w:rsidP="0067200A"/>
    <w:p w14:paraId="3101C35E" w14:textId="77777777" w:rsidR="0067200A" w:rsidRPr="00E73A2A" w:rsidRDefault="0067200A" w:rsidP="0067200A">
      <w:pPr>
        <w:ind w:firstLine="720"/>
        <w:jc w:val="both"/>
        <w:rPr>
          <w:rFonts w:eastAsia="Calibri"/>
          <w:b/>
          <w:u w:val="single"/>
          <w:lang w:eastAsia="en-US"/>
        </w:rPr>
      </w:pPr>
      <w:r w:rsidRPr="00E73A2A">
        <w:rPr>
          <w:rFonts w:eastAsia="Calibri"/>
          <w:b/>
          <w:u w:val="single"/>
          <w:lang w:eastAsia="en-US"/>
        </w:rPr>
        <w:t>Вимоги до Учасника:</w:t>
      </w:r>
    </w:p>
    <w:p w14:paraId="2BB0B010" w14:textId="77777777" w:rsidR="0067200A" w:rsidRPr="00E73A2A" w:rsidRDefault="0067200A" w:rsidP="0067200A">
      <w:pPr>
        <w:ind w:firstLine="720"/>
        <w:jc w:val="both"/>
        <w:rPr>
          <w:rFonts w:eastAsia="Calibri"/>
          <w:b/>
          <w:u w:val="single"/>
          <w:lang w:eastAsia="en-US"/>
        </w:rPr>
      </w:pPr>
    </w:p>
    <w:p w14:paraId="345F1128" w14:textId="77777777" w:rsidR="0067200A" w:rsidRPr="0067200A" w:rsidRDefault="0067200A" w:rsidP="0067200A">
      <w:pPr>
        <w:widowControl w:val="0"/>
        <w:ind w:firstLine="339"/>
        <w:contextualSpacing/>
        <w:jc w:val="both"/>
      </w:pPr>
      <w:r w:rsidRPr="00E73A2A">
        <w:t xml:space="preserve">Тендерна пропозиція подається в електронному вигляді через електронну систему </w:t>
      </w:r>
      <w:proofErr w:type="spellStart"/>
      <w:r w:rsidRPr="0067200A">
        <w:t>закупівель</w:t>
      </w:r>
      <w:proofErr w:type="spellEnd"/>
      <w:r w:rsidRPr="0067200A">
        <w:t xml:space="preserve">. Окрім документів, що вимагаються відповідно до цієї тендерної документації учаснику необхідно додатково завантажити наступні документи: </w:t>
      </w:r>
    </w:p>
    <w:p w14:paraId="3E21FFFA" w14:textId="77777777" w:rsidR="0067200A" w:rsidRPr="0067200A" w:rsidRDefault="0067200A" w:rsidP="0067200A">
      <w:pPr>
        <w:widowControl w:val="0"/>
        <w:numPr>
          <w:ilvl w:val="0"/>
          <w:numId w:val="32"/>
        </w:numPr>
        <w:contextualSpacing/>
        <w:jc w:val="both"/>
        <w:rPr>
          <w:b/>
        </w:rPr>
      </w:pPr>
      <w:r w:rsidRPr="0067200A">
        <w:t xml:space="preserve">розрахунок вартості пропозиції, в розрізі об’єктів Замовника, з урахуванням комплексу необхідних заходів, щодо утримання в належному технічному стані охоронної сигналізації; </w:t>
      </w:r>
      <w:r w:rsidRPr="0067200A">
        <w:rPr>
          <w:b/>
        </w:rPr>
        <w:t xml:space="preserve">(ВАЖЛИВО!!! Враховуючи погодинний розрахунок надання послуг, пропозиція учасника повинна бути обрахована на дату орієнтовного укладання договору, а саме 01.03.2025р.) </w:t>
      </w:r>
    </w:p>
    <w:p w14:paraId="3965E87F" w14:textId="77777777" w:rsidR="0067200A" w:rsidRPr="0067200A" w:rsidRDefault="0067200A" w:rsidP="0067200A">
      <w:pPr>
        <w:widowControl w:val="0"/>
        <w:numPr>
          <w:ilvl w:val="0"/>
          <w:numId w:val="32"/>
        </w:numPr>
        <w:contextualSpacing/>
        <w:jc w:val="both"/>
      </w:pPr>
      <w:r w:rsidRPr="0067200A">
        <w:rPr>
          <w:rFonts w:eastAsia="Calibri"/>
          <w:lang w:eastAsia="en-US"/>
        </w:rPr>
        <w:t>ліцензія на провадження охоронної діяльності;</w:t>
      </w:r>
    </w:p>
    <w:p w14:paraId="15951F57" w14:textId="77777777" w:rsidR="0067200A" w:rsidRPr="00F841CE" w:rsidRDefault="0067200A" w:rsidP="0067200A">
      <w:pPr>
        <w:widowControl w:val="0"/>
        <w:numPr>
          <w:ilvl w:val="0"/>
          <w:numId w:val="32"/>
        </w:numPr>
        <w:contextualSpacing/>
        <w:jc w:val="both"/>
      </w:pPr>
      <w:r w:rsidRPr="0067200A">
        <w:t xml:space="preserve">інформація про учасника має бути </w:t>
      </w:r>
      <w:proofErr w:type="spellStart"/>
      <w:r w:rsidRPr="0067200A">
        <w:t>включенна</w:t>
      </w:r>
      <w:proofErr w:type="spellEnd"/>
      <w:r w:rsidRPr="0067200A">
        <w:t xml:space="preserve"> до ліцензійних реєстрів Міністерства внутрішніх справ України та  розміщена на  офіційних </w:t>
      </w:r>
      <w:proofErr w:type="spellStart"/>
      <w:r w:rsidRPr="0067200A">
        <w:t>вебсайтах</w:t>
      </w:r>
      <w:proofErr w:type="spellEnd"/>
      <w:r w:rsidRPr="00F841CE">
        <w:t>.</w:t>
      </w:r>
    </w:p>
    <w:p w14:paraId="14DFFFDC" w14:textId="77777777" w:rsidR="0067200A" w:rsidRPr="00F841CE" w:rsidRDefault="0067200A" w:rsidP="0067200A">
      <w:pPr>
        <w:widowControl w:val="0"/>
        <w:numPr>
          <w:ilvl w:val="0"/>
          <w:numId w:val="32"/>
        </w:numPr>
        <w:contextualSpacing/>
        <w:jc w:val="both"/>
      </w:pPr>
      <w:r w:rsidRPr="00F841CE">
        <w:rPr>
          <w:lang w:eastAsia="uk-UA"/>
        </w:rPr>
        <w:t xml:space="preserve">учасник надає копію сертифікату та довідку, що містить інформацію про наявність власного пульта централізованого спостереження (далі - ПЦС) у </w:t>
      </w:r>
      <w:proofErr w:type="spellStart"/>
      <w:r w:rsidRPr="00F841CE">
        <w:rPr>
          <w:lang w:eastAsia="uk-UA"/>
        </w:rPr>
        <w:t>м.Вінниця</w:t>
      </w:r>
      <w:proofErr w:type="spellEnd"/>
      <w:r w:rsidRPr="00F841CE">
        <w:rPr>
          <w:lang w:eastAsia="uk-UA"/>
        </w:rPr>
        <w:t>, який відповідає вимогам ДСТУ Е</w:t>
      </w:r>
      <w:r w:rsidRPr="00F841CE">
        <w:rPr>
          <w:lang w:val="en-US" w:eastAsia="uk-UA"/>
        </w:rPr>
        <w:t>N</w:t>
      </w:r>
      <w:r w:rsidRPr="00F841CE">
        <w:rPr>
          <w:lang w:eastAsia="uk-UA"/>
        </w:rPr>
        <w:t xml:space="preserve"> 50518-1:2014, ДСТУ Е</w:t>
      </w:r>
      <w:r w:rsidRPr="00F841CE">
        <w:rPr>
          <w:lang w:val="en-US" w:eastAsia="uk-UA"/>
        </w:rPr>
        <w:t>N</w:t>
      </w:r>
      <w:r w:rsidRPr="00F841CE">
        <w:rPr>
          <w:lang w:eastAsia="uk-UA"/>
        </w:rPr>
        <w:t xml:space="preserve"> 50518-2:2014, ДСТУ Е</w:t>
      </w:r>
      <w:r w:rsidRPr="00F841CE">
        <w:rPr>
          <w:lang w:val="en-US" w:eastAsia="uk-UA"/>
        </w:rPr>
        <w:t>N</w:t>
      </w:r>
      <w:r w:rsidRPr="00F841CE">
        <w:rPr>
          <w:lang w:eastAsia="uk-UA"/>
        </w:rPr>
        <w:t xml:space="preserve"> 50518-3:2014.</w:t>
      </w:r>
    </w:p>
    <w:p w14:paraId="706757B0" w14:textId="77777777" w:rsidR="0067200A" w:rsidRPr="00F841CE" w:rsidRDefault="0067200A" w:rsidP="0067200A">
      <w:pPr>
        <w:widowControl w:val="0"/>
        <w:numPr>
          <w:ilvl w:val="0"/>
          <w:numId w:val="32"/>
        </w:numPr>
        <w:contextualSpacing/>
        <w:jc w:val="both"/>
      </w:pPr>
      <w:r w:rsidRPr="00F841CE">
        <w:rPr>
          <w:lang w:eastAsia="uk-UA"/>
        </w:rPr>
        <w:t>учасник надає копію сертифікату довідку, що містить інформацію про відповідність послуг з технічного обслуговування та ремонту засобів охоронної сигналізації систем охоронної сигналізації ДСТУ С</w:t>
      </w:r>
      <w:r w:rsidRPr="00F841CE">
        <w:rPr>
          <w:lang w:val="en-US" w:eastAsia="uk-UA"/>
        </w:rPr>
        <w:t>LC</w:t>
      </w:r>
      <w:r w:rsidRPr="00F841CE">
        <w:rPr>
          <w:lang w:eastAsia="uk-UA"/>
        </w:rPr>
        <w:t>/Т</w:t>
      </w:r>
      <w:r w:rsidRPr="00F841CE">
        <w:rPr>
          <w:lang w:val="en-US" w:eastAsia="uk-UA"/>
        </w:rPr>
        <w:t>S</w:t>
      </w:r>
      <w:r w:rsidRPr="00F841CE">
        <w:rPr>
          <w:lang w:eastAsia="uk-UA"/>
        </w:rPr>
        <w:t xml:space="preserve"> 50131-7:2014, ДСТУ 4030-2001, ДСТУ Е</w:t>
      </w:r>
      <w:r w:rsidRPr="00F841CE">
        <w:rPr>
          <w:lang w:val="en-US" w:eastAsia="uk-UA"/>
        </w:rPr>
        <w:t>N</w:t>
      </w:r>
      <w:r w:rsidRPr="00F841CE">
        <w:rPr>
          <w:lang w:eastAsia="uk-UA"/>
        </w:rPr>
        <w:t xml:space="preserve"> 16763:2017.</w:t>
      </w:r>
    </w:p>
    <w:p w14:paraId="22978EEB" w14:textId="77777777" w:rsidR="002E22B7" w:rsidRPr="009E158C" w:rsidRDefault="002E22B7" w:rsidP="002E22B7">
      <w:pPr>
        <w:ind w:left="-709"/>
        <w:jc w:val="both"/>
        <w:rPr>
          <w:sz w:val="16"/>
          <w:szCs w:val="16"/>
        </w:rPr>
      </w:pPr>
    </w:p>
    <w:p w14:paraId="599F2B14" w14:textId="1EA9B449" w:rsidR="0044255F" w:rsidRPr="009E158C" w:rsidRDefault="006438F8" w:rsidP="000E4AC7">
      <w:pPr>
        <w:tabs>
          <w:tab w:val="left" w:pos="180"/>
        </w:tabs>
        <w:jc w:val="both"/>
        <w:rPr>
          <w:b/>
        </w:rPr>
      </w:pPr>
      <w:r w:rsidRPr="009E158C">
        <w:rPr>
          <w:b/>
        </w:rPr>
        <w:t xml:space="preserve">       </w:t>
      </w:r>
      <w:r w:rsidR="00A0247F" w:rsidRPr="009E158C">
        <w:rPr>
          <w:b/>
        </w:rPr>
        <w:t>5. Обґрунтування розміру бюджетного призначення:</w:t>
      </w:r>
      <w:r w:rsidR="00A0247F" w:rsidRPr="009E158C">
        <w:t xml:space="preserve"> розмір бюджетного призначення </w:t>
      </w:r>
      <w:r w:rsidR="0044255F" w:rsidRPr="009E158C">
        <w:t>для предмет</w:t>
      </w:r>
      <w:r w:rsidR="00270EDE" w:rsidRPr="009E158C">
        <w:t>у</w:t>
      </w:r>
      <w:r w:rsidR="0044255F" w:rsidRPr="009E158C">
        <w:t xml:space="preserve"> закупів</w:t>
      </w:r>
      <w:r w:rsidR="007C2BD8" w:rsidRPr="009E158C">
        <w:t>л</w:t>
      </w:r>
      <w:r w:rsidR="00270EDE" w:rsidRPr="009E158C">
        <w:t>і</w:t>
      </w:r>
      <w:r w:rsidR="0044255F" w:rsidRPr="009E158C">
        <w:t xml:space="preserve"> відповідає розрахунку видатків до кошторису </w:t>
      </w:r>
      <w:r w:rsidR="00290903">
        <w:t>Вінницької</w:t>
      </w:r>
      <w:r w:rsidR="00270EDE" w:rsidRPr="009E158C">
        <w:t xml:space="preserve"> митниці </w:t>
      </w:r>
      <w:r w:rsidR="0044255F" w:rsidRPr="009E158C">
        <w:t>на 202</w:t>
      </w:r>
      <w:r w:rsidR="009E158C" w:rsidRPr="009E158C">
        <w:t>5</w:t>
      </w:r>
      <w:r w:rsidR="0044255F" w:rsidRPr="009E158C">
        <w:t xml:space="preserve"> рік </w:t>
      </w:r>
      <w:r w:rsidR="00EF4CD6" w:rsidRPr="009E158C">
        <w:t xml:space="preserve">(зі змінами) по </w:t>
      </w:r>
      <w:r w:rsidR="0044255F" w:rsidRPr="009E158C">
        <w:t>загальн</w:t>
      </w:r>
      <w:r w:rsidR="00EF4CD6" w:rsidRPr="009E158C">
        <w:t>ому</w:t>
      </w:r>
      <w:r w:rsidR="0044255F" w:rsidRPr="009E158C">
        <w:t xml:space="preserve"> фонд</w:t>
      </w:r>
      <w:r w:rsidR="00EF4CD6" w:rsidRPr="009E158C">
        <w:t>у</w:t>
      </w:r>
      <w:r w:rsidR="0044255F" w:rsidRPr="009E158C">
        <w:t xml:space="preserve"> за КПКВК 3506010 «Керівництво та управління у сфері митної політики»</w:t>
      </w:r>
      <w:r w:rsidR="00853255" w:rsidRPr="009E158C">
        <w:t xml:space="preserve"> з урахуванням середньої ринкової вартості аналогічних </w:t>
      </w:r>
      <w:r w:rsidR="00726764" w:rsidRPr="009E158C">
        <w:t>п</w:t>
      </w:r>
      <w:r w:rsidR="00853255" w:rsidRPr="009E158C">
        <w:t>о</w:t>
      </w:r>
      <w:r w:rsidR="00726764" w:rsidRPr="009E158C">
        <w:t>слуг</w:t>
      </w:r>
      <w:r w:rsidR="0044255F" w:rsidRPr="009E158C">
        <w:t>.</w:t>
      </w:r>
    </w:p>
    <w:p w14:paraId="4A447243" w14:textId="77777777" w:rsidR="0044255F" w:rsidRPr="009E158C" w:rsidRDefault="0044255F" w:rsidP="007919B9">
      <w:pPr>
        <w:ind w:firstLine="567"/>
        <w:contextualSpacing/>
        <w:jc w:val="both"/>
      </w:pPr>
    </w:p>
    <w:p w14:paraId="3EE03F91" w14:textId="77E2D728" w:rsidR="007F146A" w:rsidRPr="009E158C" w:rsidRDefault="00A0247F" w:rsidP="00AB441C">
      <w:pPr>
        <w:ind w:firstLine="426"/>
        <w:contextualSpacing/>
        <w:jc w:val="both"/>
      </w:pPr>
      <w:r w:rsidRPr="009E158C">
        <w:rPr>
          <w:b/>
        </w:rPr>
        <w:t>6. Очікувана вартість предмета закупівлі:</w:t>
      </w:r>
      <w:r w:rsidR="00500435" w:rsidRPr="009E158C">
        <w:rPr>
          <w:b/>
        </w:rPr>
        <w:t xml:space="preserve"> </w:t>
      </w:r>
      <w:r w:rsidR="0067200A" w:rsidRPr="0067200A">
        <w:rPr>
          <w:b/>
        </w:rPr>
        <w:t>96 199.46</w:t>
      </w:r>
      <w:r w:rsidR="00DC5925" w:rsidRPr="009E158C">
        <w:rPr>
          <w:b/>
        </w:rPr>
        <w:t xml:space="preserve"> </w:t>
      </w:r>
      <w:r w:rsidR="00EF4CD6" w:rsidRPr="009E158C">
        <w:rPr>
          <w:b/>
        </w:rPr>
        <w:t>грн</w:t>
      </w:r>
      <w:r w:rsidR="00EF4CD6" w:rsidRPr="0067200A">
        <w:rPr>
          <w:b/>
        </w:rPr>
        <w:t>. з ПДВ</w:t>
      </w:r>
      <w:r w:rsidR="007B3889" w:rsidRPr="0067200A">
        <w:rPr>
          <w:b/>
        </w:rPr>
        <w:t>.</w:t>
      </w:r>
    </w:p>
    <w:p w14:paraId="3BF3859A" w14:textId="1B8B6332" w:rsidR="00057AFB" w:rsidRPr="009E158C" w:rsidRDefault="00500435" w:rsidP="007919B9">
      <w:pPr>
        <w:ind w:firstLine="567"/>
        <w:contextualSpacing/>
        <w:jc w:val="both"/>
      </w:pPr>
      <w:r w:rsidRPr="009E158C">
        <w:t xml:space="preserve"> </w:t>
      </w:r>
    </w:p>
    <w:p w14:paraId="08593C51" w14:textId="77777777" w:rsidR="00964E6F" w:rsidRPr="009E158C" w:rsidRDefault="00A0247F" w:rsidP="00AB441C">
      <w:pPr>
        <w:ind w:firstLine="426"/>
        <w:contextualSpacing/>
        <w:jc w:val="both"/>
      </w:pPr>
      <w:r w:rsidRPr="009E158C">
        <w:rPr>
          <w:b/>
        </w:rPr>
        <w:t>7. Обґрунтування очікуваної вартості предмета закупівлі:</w:t>
      </w:r>
      <w:r w:rsidRPr="009E158C">
        <w:t xml:space="preserve"> </w:t>
      </w:r>
    </w:p>
    <w:p w14:paraId="626B9AF5" w14:textId="1AF03AB4" w:rsidR="00006754" w:rsidRPr="009E158C" w:rsidRDefault="00853255" w:rsidP="00C224AA">
      <w:pPr>
        <w:ind w:firstLine="567"/>
        <w:contextualSpacing/>
        <w:jc w:val="both"/>
      </w:pPr>
      <w:r w:rsidRPr="009E158C">
        <w:t>Н</w:t>
      </w:r>
      <w:r w:rsidR="00006754" w:rsidRPr="009E158C">
        <w:t>аказом Міністерства розвитку економіки, торгівлі та сільського господарства України від 18.02.2020 №</w:t>
      </w:r>
      <w:r w:rsidRPr="009E158C">
        <w:t xml:space="preserve"> </w:t>
      </w:r>
      <w:r w:rsidR="00006754" w:rsidRPr="009E158C">
        <w:t xml:space="preserve">275 затверджена примірна методика визначення очікуваної </w:t>
      </w:r>
      <w:r w:rsidR="00006754" w:rsidRPr="009E158C">
        <w:lastRenderedPageBreak/>
        <w:t>вартості предмет</w:t>
      </w:r>
      <w:r w:rsidR="009E158C" w:rsidRPr="009E158C">
        <w:t>а</w:t>
      </w:r>
      <w:r w:rsidR="00006754" w:rsidRPr="009E158C">
        <w:t xml:space="preserve"> закупівлі, якою передбачені методи визначення очікуваної вартості предмет</w:t>
      </w:r>
      <w:r w:rsidR="009E158C" w:rsidRPr="009E158C">
        <w:t>а</w:t>
      </w:r>
      <w:r w:rsidR="00006754" w:rsidRPr="009E158C">
        <w:t xml:space="preserve"> закупівлі.</w:t>
      </w:r>
    </w:p>
    <w:p w14:paraId="5524974C" w14:textId="159D35A8" w:rsidR="00006754" w:rsidRPr="009E158C" w:rsidRDefault="00006754" w:rsidP="009E158C">
      <w:pPr>
        <w:ind w:firstLine="426"/>
        <w:contextualSpacing/>
        <w:jc w:val="both"/>
      </w:pPr>
      <w:r w:rsidRPr="009E158C">
        <w:t>Так, очікувана вартість предмет</w:t>
      </w:r>
      <w:r w:rsidR="009E158C" w:rsidRPr="009E158C">
        <w:t>а</w:t>
      </w:r>
      <w:r w:rsidRPr="009E158C">
        <w:t xml:space="preserve"> закупівлі визначена на підставі аналізу загальнодоступної інформації про ціну </w:t>
      </w:r>
      <w:r w:rsidR="00F41163" w:rsidRPr="009E158C">
        <w:t>т</w:t>
      </w:r>
      <w:r w:rsidRPr="009E158C">
        <w:t>о</w:t>
      </w:r>
      <w:r w:rsidR="00F41163" w:rsidRPr="009E158C">
        <w:t>вар</w:t>
      </w:r>
      <w:r w:rsidRPr="009E158C">
        <w:t>у (тобто інформація про ціни, що міст</w:t>
      </w:r>
      <w:r w:rsidR="00064CCA" w:rsidRPr="009E158C">
        <w:t>я</w:t>
      </w:r>
      <w:r w:rsidRPr="009E158C">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E158C">
        <w:t>закупівель</w:t>
      </w:r>
      <w:proofErr w:type="spellEnd"/>
      <w:r w:rsidRPr="009E158C">
        <w:t xml:space="preserve"> «</w:t>
      </w:r>
      <w:proofErr w:type="spellStart"/>
      <w:r w:rsidR="00F70454" w:rsidRPr="009E158C">
        <w:rPr>
          <w:lang w:val="en-US"/>
        </w:rPr>
        <w:t>Pr</w:t>
      </w:r>
      <w:proofErr w:type="spellEnd"/>
      <w:r w:rsidRPr="009E158C">
        <w:t>о</w:t>
      </w:r>
      <w:r w:rsidR="00F70454" w:rsidRPr="009E158C">
        <w:rPr>
          <w:lang w:val="en-US"/>
        </w:rPr>
        <w:t>z</w:t>
      </w:r>
      <w:r w:rsidRPr="009E158C">
        <w:t>о</w:t>
      </w:r>
      <w:proofErr w:type="spellStart"/>
      <w:r w:rsidR="00F70454" w:rsidRPr="009E158C">
        <w:rPr>
          <w:lang w:val="en-US"/>
        </w:rPr>
        <w:t>rr</w:t>
      </w:r>
      <w:proofErr w:type="spellEnd"/>
      <w:r w:rsidRPr="009E158C">
        <w:t>о» тощо.</w:t>
      </w:r>
      <w:r w:rsidR="00057AFB" w:rsidRPr="009E158C">
        <w:t xml:space="preserve"> </w:t>
      </w:r>
      <w:r w:rsidRPr="009E158C">
        <w:t>Відповідно до вказаної методики, очікувана вартість предмет</w:t>
      </w:r>
      <w:r w:rsidR="009E158C" w:rsidRPr="009E158C">
        <w:t>а</w:t>
      </w:r>
      <w:r w:rsidRPr="009E158C">
        <w:t xml:space="preserve"> закупівлі становить </w:t>
      </w:r>
      <w:r w:rsidR="0067200A" w:rsidRPr="0067200A">
        <w:rPr>
          <w:b/>
        </w:rPr>
        <w:t>96 199.46</w:t>
      </w:r>
      <w:r w:rsidR="0067200A">
        <w:rPr>
          <w:b/>
        </w:rPr>
        <w:t xml:space="preserve"> з ПДВ</w:t>
      </w:r>
      <w:r w:rsidRPr="009E158C">
        <w:t>, що відповідає розміру бюджетного призначення.</w:t>
      </w:r>
    </w:p>
    <w:p w14:paraId="77CD26D5" w14:textId="77777777" w:rsidR="00BC7695" w:rsidRPr="009E158C" w:rsidRDefault="00BF492B" w:rsidP="00AB441C">
      <w:pPr>
        <w:ind w:firstLine="426"/>
        <w:contextualSpacing/>
        <w:jc w:val="both"/>
      </w:pPr>
      <w:r w:rsidRPr="009E158C">
        <w:rPr>
          <w:b/>
        </w:rPr>
        <w:t>8. Застосування виключення:</w:t>
      </w:r>
      <w:r w:rsidRPr="009E158C">
        <w:t xml:space="preserve"> не застосовується. Закупівля проводиться із застосуванням відкритих торгів з особливостями.</w:t>
      </w:r>
    </w:p>
    <w:p w14:paraId="04E9993C" w14:textId="77777777" w:rsidR="00A274EA" w:rsidRPr="009E158C" w:rsidRDefault="00A274EA">
      <w:pPr>
        <w:ind w:firstLine="426"/>
        <w:contextualSpacing/>
        <w:jc w:val="both"/>
      </w:pPr>
    </w:p>
    <w:sectPr w:rsidR="00A274EA" w:rsidRPr="009E158C"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D8263" w14:textId="77777777" w:rsidR="00545CAE" w:rsidRDefault="00545CAE">
      <w:r>
        <w:separator/>
      </w:r>
    </w:p>
  </w:endnote>
  <w:endnote w:type="continuationSeparator" w:id="0">
    <w:p w14:paraId="28FEADAD" w14:textId="77777777" w:rsidR="00545CAE" w:rsidRDefault="0054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3B8E7" w14:textId="77777777" w:rsidR="00545CAE" w:rsidRDefault="00545CAE">
      <w:r>
        <w:separator/>
      </w:r>
    </w:p>
  </w:footnote>
  <w:footnote w:type="continuationSeparator" w:id="0">
    <w:p w14:paraId="5F5BA7C2" w14:textId="77777777" w:rsidR="00545CAE" w:rsidRDefault="0054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tentative="1">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24"/>
  </w:num>
  <w:num w:numId="4">
    <w:abstractNumId w:val="11"/>
  </w:num>
  <w:num w:numId="5">
    <w:abstractNumId w:val="3"/>
  </w:num>
  <w:num w:numId="6">
    <w:abstractNumId w:val="2"/>
  </w:num>
  <w:num w:numId="7">
    <w:abstractNumId w:val="31"/>
  </w:num>
  <w:num w:numId="8">
    <w:abstractNumId w:val="6"/>
  </w:num>
  <w:num w:numId="9">
    <w:abstractNumId w:val="7"/>
  </w:num>
  <w:num w:numId="10">
    <w:abstractNumId w:val="12"/>
  </w:num>
  <w:num w:numId="11">
    <w:abstractNumId w:val="22"/>
  </w:num>
  <w:num w:numId="12">
    <w:abstractNumId w:val="20"/>
  </w:num>
  <w:num w:numId="13">
    <w:abstractNumId w:val="27"/>
  </w:num>
  <w:num w:numId="14">
    <w:abstractNumId w:val="15"/>
  </w:num>
  <w:num w:numId="15">
    <w:abstractNumId w:val="5"/>
  </w:num>
  <w:num w:numId="16">
    <w:abstractNumId w:val="4"/>
  </w:num>
  <w:num w:numId="17">
    <w:abstractNumId w:val="16"/>
  </w:num>
  <w:num w:numId="18">
    <w:abstractNumId w:val="28"/>
  </w:num>
  <w:num w:numId="19">
    <w:abstractNumId w:val="13"/>
  </w:num>
  <w:num w:numId="20">
    <w:abstractNumId w:val="2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25"/>
  </w:num>
  <w:num w:numId="25">
    <w:abstractNumId w:val="17"/>
  </w:num>
  <w:num w:numId="26">
    <w:abstractNumId w:val="23"/>
  </w:num>
  <w:num w:numId="27">
    <w:abstractNumId w:val="18"/>
  </w:num>
  <w:num w:numId="28">
    <w:abstractNumId w:val="32"/>
  </w:num>
  <w:num w:numId="29">
    <w:abstractNumId w:val="9"/>
  </w:num>
  <w:num w:numId="30">
    <w:abstractNumId w:val="19"/>
  </w:num>
  <w:num w:numId="31">
    <w:abstractNumId w:val="26"/>
  </w:num>
  <w:num w:numId="3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5CAE"/>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5274</Words>
  <Characters>3007</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2025-08-29T07:28:00Z</dcterms:created>
  <dcterms:modified xsi:type="dcterms:W3CDTF">2025-08-29T07:28:00Z</dcterms:modified>
</cp:coreProperties>
</file>