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DB3F38" w:rsidRDefault="006E0648" w:rsidP="006E0648">
      <w:pPr>
        <w:contextualSpacing/>
        <w:jc w:val="center"/>
        <w:rPr>
          <w:b/>
        </w:rPr>
      </w:pPr>
      <w:r w:rsidRPr="00DB3F38">
        <w:rPr>
          <w:b/>
        </w:rPr>
        <w:t>ОБҐРУНТУВАННЯ ТЕХНІЧНИХ ТА ЯКІСНИХ ХАРАКТЕРИСТИК ПРЕДМЕТА</w:t>
      </w:r>
      <w:r w:rsidRPr="00DB3F38">
        <w:rPr>
          <w:b/>
          <w:lang w:val="ru-RU"/>
        </w:rPr>
        <w:t xml:space="preserve"> </w:t>
      </w:r>
      <w:r w:rsidRPr="00DB3F38">
        <w:rPr>
          <w:b/>
        </w:rPr>
        <w:t>ЗАКУПІВЛІ, РОЗМІРУ БЮДЖЕТНОГО ПРИЗНАЧЕННЯ, ОЧІКУВАНОЇ</w:t>
      </w:r>
      <w:r w:rsidRPr="00DB3F38">
        <w:rPr>
          <w:b/>
          <w:lang w:val="ru-RU"/>
        </w:rPr>
        <w:t xml:space="preserve"> </w:t>
      </w:r>
      <w:r w:rsidRPr="00DB3F38">
        <w:rPr>
          <w:b/>
        </w:rPr>
        <w:t>ВАРТОСТІ ПРЕДМЕТА ЗАКУПІВЛІ</w:t>
      </w:r>
    </w:p>
    <w:p w14:paraId="483AE19F" w14:textId="77777777" w:rsidR="007919B9" w:rsidRPr="00DB3F38" w:rsidRDefault="006E0648" w:rsidP="006E0648">
      <w:pPr>
        <w:contextualSpacing/>
        <w:jc w:val="center"/>
        <w:rPr>
          <w:b/>
        </w:rPr>
      </w:pPr>
      <w:r w:rsidRPr="00DB3F38">
        <w:rPr>
          <w:b/>
        </w:rPr>
        <w:t xml:space="preserve">(відповідно до пункту </w:t>
      </w:r>
      <w:r w:rsidR="00673C61" w:rsidRPr="00DB3F38">
        <w:rPr>
          <w:b/>
        </w:rPr>
        <w:t>4</w:t>
      </w:r>
      <w:r w:rsidR="00673C61" w:rsidRPr="00DB3F38">
        <w:rPr>
          <w:b/>
          <w:vertAlign w:val="superscript"/>
        </w:rPr>
        <w:t>1</w:t>
      </w:r>
      <w:r w:rsidRPr="00DB3F38">
        <w:rPr>
          <w:b/>
        </w:rPr>
        <w:t xml:space="preserve"> постанови КМУ від 11.10.2016 № 710 </w:t>
      </w:r>
    </w:p>
    <w:p w14:paraId="15EE5A58" w14:textId="77777777" w:rsidR="006E0648" w:rsidRPr="00DB3F38" w:rsidRDefault="006E0648" w:rsidP="006E0648">
      <w:pPr>
        <w:contextualSpacing/>
        <w:jc w:val="center"/>
        <w:rPr>
          <w:b/>
        </w:rPr>
      </w:pPr>
      <w:r w:rsidRPr="00DB3F38">
        <w:rPr>
          <w:b/>
        </w:rPr>
        <w:t>«Про ефективне</w:t>
      </w:r>
      <w:r w:rsidR="007919B9" w:rsidRPr="00DB3F38">
        <w:rPr>
          <w:b/>
        </w:rPr>
        <w:t xml:space="preserve"> </w:t>
      </w:r>
      <w:r w:rsidRPr="00DB3F38">
        <w:rPr>
          <w:b/>
        </w:rPr>
        <w:t>використання державних коштів» (зі змінами))</w:t>
      </w:r>
    </w:p>
    <w:p w14:paraId="3942DFD4" w14:textId="77777777" w:rsidR="00C9359B" w:rsidRPr="00DB3F38" w:rsidRDefault="00C9359B" w:rsidP="007919B9">
      <w:pPr>
        <w:ind w:firstLine="567"/>
        <w:contextualSpacing/>
        <w:jc w:val="both"/>
        <w:rPr>
          <w:b/>
        </w:rPr>
      </w:pPr>
    </w:p>
    <w:p w14:paraId="1074647C" w14:textId="77777777" w:rsidR="002E22B7" w:rsidRPr="00DB3F38" w:rsidRDefault="006E0648" w:rsidP="007919B9">
      <w:pPr>
        <w:ind w:firstLine="567"/>
        <w:contextualSpacing/>
        <w:jc w:val="both"/>
        <w:rPr>
          <w:b/>
        </w:rPr>
      </w:pPr>
      <w:r w:rsidRPr="00DB3F38">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DB3F38" w:rsidRDefault="002E22B7" w:rsidP="007919B9">
      <w:pPr>
        <w:ind w:firstLine="567"/>
        <w:contextualSpacing/>
        <w:jc w:val="both"/>
        <w:rPr>
          <w:b/>
        </w:rPr>
      </w:pPr>
    </w:p>
    <w:p w14:paraId="23F02F84" w14:textId="530E651D" w:rsidR="006E0648" w:rsidRPr="00DB3F38" w:rsidRDefault="006E0648" w:rsidP="007919B9">
      <w:pPr>
        <w:ind w:firstLine="567"/>
        <w:contextualSpacing/>
        <w:jc w:val="both"/>
      </w:pPr>
      <w:r w:rsidRPr="00DB3F38">
        <w:rPr>
          <w:b/>
        </w:rPr>
        <w:t xml:space="preserve"> </w:t>
      </w:r>
      <w:r w:rsidR="00290903" w:rsidRPr="00DB3F38">
        <w:t xml:space="preserve">Вінницька </w:t>
      </w:r>
      <w:r w:rsidR="00452DA4" w:rsidRPr="00DB3F38">
        <w:t xml:space="preserve">митниця; вул. </w:t>
      </w:r>
      <w:r w:rsidR="00290903" w:rsidRPr="00DB3F38">
        <w:t>Лебединського, 17</w:t>
      </w:r>
      <w:r w:rsidR="00452DA4" w:rsidRPr="00DB3F38">
        <w:t>,</w:t>
      </w:r>
      <w:r w:rsidR="00290903" w:rsidRPr="00DB3F38">
        <w:t xml:space="preserve"> </w:t>
      </w:r>
      <w:r w:rsidR="00452DA4" w:rsidRPr="00DB3F38">
        <w:t xml:space="preserve">м. </w:t>
      </w:r>
      <w:r w:rsidR="00290903" w:rsidRPr="00DB3F38">
        <w:t>Вінниця, Вінницька</w:t>
      </w:r>
      <w:r w:rsidR="00452DA4" w:rsidRPr="00DB3F38">
        <w:t xml:space="preserve"> область, </w:t>
      </w:r>
      <w:r w:rsidR="00290903" w:rsidRPr="00DB3F38">
        <w:t>21034</w:t>
      </w:r>
      <w:r w:rsidRPr="00DB3F38">
        <w:t xml:space="preserve">; код ЄДРПОУ </w:t>
      </w:r>
      <w:r w:rsidR="006438F8" w:rsidRPr="00DB3F38">
        <w:t>ВП:</w:t>
      </w:r>
      <w:r w:rsidRPr="00DB3F38">
        <w:t xml:space="preserve"> 43</w:t>
      </w:r>
      <w:r w:rsidR="00BE601F" w:rsidRPr="00DB3F38">
        <w:t>9</w:t>
      </w:r>
      <w:r w:rsidRPr="00DB3F38">
        <w:t>9</w:t>
      </w:r>
      <w:r w:rsidR="00BE601F" w:rsidRPr="00DB3F38">
        <w:t>75</w:t>
      </w:r>
      <w:r w:rsidR="00290903" w:rsidRPr="00DB3F38">
        <w:t>44</w:t>
      </w:r>
      <w:r w:rsidRPr="00DB3F38">
        <w:t>; категорія замовника – орган державної  влади.</w:t>
      </w:r>
    </w:p>
    <w:p w14:paraId="505BA49B" w14:textId="77777777" w:rsidR="006E0648" w:rsidRPr="00DB3F38" w:rsidRDefault="006E0648" w:rsidP="007919B9">
      <w:pPr>
        <w:ind w:firstLine="567"/>
        <w:contextualSpacing/>
        <w:jc w:val="both"/>
      </w:pPr>
    </w:p>
    <w:p w14:paraId="12896E25" w14:textId="77777777" w:rsidR="002E22B7" w:rsidRPr="00DB3F38" w:rsidRDefault="006E0648" w:rsidP="00006754">
      <w:pPr>
        <w:ind w:firstLine="567"/>
        <w:contextualSpacing/>
        <w:jc w:val="both"/>
        <w:rPr>
          <w:b/>
        </w:rPr>
      </w:pPr>
      <w:r w:rsidRPr="00DB3F38">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DB3F38" w:rsidRDefault="002E22B7" w:rsidP="00006754">
      <w:pPr>
        <w:ind w:firstLine="567"/>
        <w:contextualSpacing/>
        <w:jc w:val="both"/>
      </w:pPr>
    </w:p>
    <w:p w14:paraId="795AAAF0" w14:textId="1F547F8B" w:rsidR="0034128E" w:rsidRPr="00DB3F38" w:rsidRDefault="00DB3F38" w:rsidP="00DB3F38">
      <w:pPr>
        <w:pStyle w:val="1"/>
        <w:shd w:val="clear" w:color="auto" w:fill="FFFFFF"/>
        <w:spacing w:before="0" w:after="0"/>
        <w:ind w:firstLine="567"/>
        <w:rPr>
          <w:rFonts w:ascii="Times New Roman" w:eastAsia="Times New Roman" w:hAnsi="Times New Roman" w:cs="Times New Roman"/>
          <w:b w:val="0"/>
          <w:bCs w:val="0"/>
          <w:kern w:val="0"/>
          <w:sz w:val="24"/>
          <w:szCs w:val="24"/>
          <w:lang w:eastAsia="ru-RU"/>
        </w:rPr>
      </w:pPr>
      <w:bookmarkStart w:id="0" w:name="_GoBack"/>
      <w:r w:rsidRPr="00DB3F38">
        <w:rPr>
          <w:rFonts w:ascii="Times New Roman" w:eastAsia="Times New Roman" w:hAnsi="Times New Roman" w:cs="Times New Roman"/>
          <w:b w:val="0"/>
          <w:bCs w:val="0"/>
          <w:kern w:val="0"/>
          <w:sz w:val="24"/>
          <w:szCs w:val="24"/>
          <w:lang w:eastAsia="ru-RU"/>
        </w:rPr>
        <w:t>Послуги з повірки теплового лічильника</w:t>
      </w:r>
      <w:r w:rsidR="0034128E" w:rsidRPr="00DB3F38">
        <w:rPr>
          <w:rFonts w:ascii="Times New Roman" w:eastAsia="Times New Roman" w:hAnsi="Times New Roman" w:cs="Times New Roman"/>
          <w:b w:val="0"/>
          <w:bCs w:val="0"/>
          <w:kern w:val="0"/>
          <w:sz w:val="24"/>
          <w:szCs w:val="24"/>
          <w:lang w:eastAsia="ru-RU"/>
        </w:rPr>
        <w:t xml:space="preserve"> </w:t>
      </w:r>
      <w:r w:rsidR="00615C8A" w:rsidRPr="00DB3F38">
        <w:rPr>
          <w:rFonts w:ascii="Times New Roman" w:eastAsia="Times New Roman" w:hAnsi="Times New Roman" w:cs="Times New Roman"/>
          <w:b w:val="0"/>
          <w:bCs w:val="0"/>
          <w:kern w:val="0"/>
          <w:sz w:val="24"/>
          <w:szCs w:val="24"/>
          <w:lang w:eastAsia="ru-RU"/>
        </w:rPr>
        <w:t xml:space="preserve"> </w:t>
      </w:r>
      <w:bookmarkEnd w:id="0"/>
      <w:r w:rsidR="00D067E2" w:rsidRPr="00DB3F38">
        <w:rPr>
          <w:rFonts w:ascii="Times New Roman" w:eastAsia="Times New Roman" w:hAnsi="Times New Roman" w:cs="Times New Roman"/>
          <w:b w:val="0"/>
          <w:bCs w:val="0"/>
          <w:kern w:val="0"/>
          <w:sz w:val="24"/>
          <w:szCs w:val="24"/>
          <w:lang w:eastAsia="ru-RU"/>
        </w:rPr>
        <w:t xml:space="preserve">за кодом ДК 021:2015: </w:t>
      </w:r>
      <w:r w:rsidRPr="00DB3F38">
        <w:rPr>
          <w:rFonts w:ascii="Times New Roman" w:eastAsia="Times New Roman" w:hAnsi="Times New Roman" w:cs="Times New Roman"/>
          <w:b w:val="0"/>
          <w:bCs w:val="0"/>
          <w:kern w:val="0"/>
          <w:sz w:val="24"/>
          <w:szCs w:val="24"/>
          <w:lang w:eastAsia="ru-RU"/>
        </w:rPr>
        <w:t>50410000-2 Послуги з ремонту і технічного обслуговування вимірювальних, випробувальних і контрольних приладів</w:t>
      </w:r>
    </w:p>
    <w:p w14:paraId="07ADAFC5" w14:textId="77777777" w:rsidR="00DB3F38" w:rsidRPr="00DB3F38" w:rsidRDefault="00DB3F38" w:rsidP="00DB3F38">
      <w:pPr>
        <w:rPr>
          <w:rFonts w:eastAsia="Calibri"/>
          <w:lang w:eastAsia="uk-UA"/>
        </w:rPr>
      </w:pPr>
    </w:p>
    <w:p w14:paraId="21F9E478" w14:textId="2BD70683" w:rsidR="00445D32" w:rsidRPr="00DB3F38" w:rsidRDefault="007C2BD8" w:rsidP="00C908AE">
      <w:pPr>
        <w:tabs>
          <w:tab w:val="left" w:pos="360"/>
          <w:tab w:val="left" w:pos="567"/>
        </w:tabs>
        <w:contextualSpacing/>
        <w:jc w:val="both"/>
        <w:rPr>
          <w:b/>
        </w:rPr>
      </w:pPr>
      <w:r w:rsidRPr="00DB3F38">
        <w:rPr>
          <w:rFonts w:eastAsia="Calibri"/>
        </w:rPr>
        <w:t xml:space="preserve"> </w:t>
      </w:r>
      <w:r w:rsidR="00006754" w:rsidRPr="00DB3F38">
        <w:rPr>
          <w:rFonts w:eastAsia="Calibri"/>
        </w:rPr>
        <w:tab/>
      </w:r>
      <w:r w:rsidR="00006754" w:rsidRPr="00DB3F38">
        <w:rPr>
          <w:rFonts w:eastAsia="Calibri"/>
        </w:rPr>
        <w:tab/>
      </w:r>
      <w:r w:rsidR="006E0648" w:rsidRPr="00DB3F38">
        <w:rPr>
          <w:b/>
        </w:rPr>
        <w:t>3. Ідентифікатор закупів</w:t>
      </w:r>
      <w:r w:rsidRPr="00DB3F38">
        <w:rPr>
          <w:b/>
        </w:rPr>
        <w:t>л</w:t>
      </w:r>
      <w:r w:rsidR="00AF41A4" w:rsidRPr="00DB3F38">
        <w:rPr>
          <w:b/>
        </w:rPr>
        <w:t>і</w:t>
      </w:r>
      <w:r w:rsidR="006E0648" w:rsidRPr="00DB3F38">
        <w:rPr>
          <w:b/>
        </w:rPr>
        <w:t>: —</w:t>
      </w:r>
      <w:r w:rsidR="000274C4" w:rsidRPr="00DB3F38">
        <w:rPr>
          <w:b/>
        </w:rPr>
        <w:t xml:space="preserve"> </w:t>
      </w:r>
      <w:r w:rsidR="00DB3F38" w:rsidRPr="00DB3F38">
        <w:rPr>
          <w:b/>
        </w:rPr>
        <w:t>UA-2025-07-11-003862-a</w:t>
      </w:r>
    </w:p>
    <w:p w14:paraId="73218862" w14:textId="77777777" w:rsidR="00DB3F38" w:rsidRPr="00DB3F38" w:rsidRDefault="00DB3F38" w:rsidP="00C908AE">
      <w:pPr>
        <w:tabs>
          <w:tab w:val="left" w:pos="360"/>
          <w:tab w:val="left" w:pos="567"/>
        </w:tabs>
        <w:contextualSpacing/>
        <w:jc w:val="both"/>
        <w:rPr>
          <w:b/>
        </w:rPr>
      </w:pPr>
    </w:p>
    <w:p w14:paraId="71B8F525" w14:textId="77777777" w:rsidR="00006754" w:rsidRPr="00DB3F38" w:rsidRDefault="00A0247F" w:rsidP="007919B9">
      <w:pPr>
        <w:ind w:firstLine="567"/>
        <w:contextualSpacing/>
        <w:jc w:val="both"/>
      </w:pPr>
      <w:r w:rsidRPr="00DB3F38">
        <w:rPr>
          <w:b/>
        </w:rPr>
        <w:t>4. Обґрунтування технічних та якісних характеристик предмета закупівлі:</w:t>
      </w:r>
      <w:r w:rsidRPr="00DB3F38">
        <w:t xml:space="preserve"> технічні та якісні характеристики предмета закупівлі визначені відповідно до потреб замовника</w:t>
      </w:r>
      <w:r w:rsidR="00006754" w:rsidRPr="00DB3F38">
        <w:t>.</w:t>
      </w:r>
    </w:p>
    <w:p w14:paraId="117CCF63" w14:textId="77777777" w:rsidR="00CE690A" w:rsidRPr="00DB3F38" w:rsidRDefault="00CE690A" w:rsidP="003C0531">
      <w:pPr>
        <w:tabs>
          <w:tab w:val="left" w:pos="7938"/>
          <w:tab w:val="left" w:pos="8505"/>
        </w:tabs>
        <w:jc w:val="center"/>
        <w:rPr>
          <w:b/>
        </w:rPr>
      </w:pPr>
    </w:p>
    <w:p w14:paraId="77DDFA8C" w14:textId="77777777" w:rsidR="00290903" w:rsidRPr="00DB3F38" w:rsidRDefault="00290903" w:rsidP="00290903">
      <w:pPr>
        <w:jc w:val="center"/>
        <w:rPr>
          <w:b/>
          <w:bCs/>
          <w:lang w:eastAsia="uk-UA"/>
        </w:rPr>
      </w:pPr>
      <w:r w:rsidRPr="00DB3F38">
        <w:rPr>
          <w:b/>
          <w:bCs/>
          <w:lang w:eastAsia="uk-UA"/>
        </w:rPr>
        <w:t>ТЕХНІЧНА СПЕЦИФІКАЦІЯ</w:t>
      </w:r>
    </w:p>
    <w:p w14:paraId="6A5C39A8" w14:textId="77777777" w:rsidR="00170178" w:rsidRPr="00DB3F38" w:rsidRDefault="00170178" w:rsidP="007F3C1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contextualSpacing/>
        <w:rPr>
          <w:rFonts w:ascii="Times New Roman" w:hAnsi="Times New Roman" w:cs="Times New Roman"/>
          <w:iCs/>
          <w:sz w:val="20"/>
          <w:szCs w:val="20"/>
        </w:rPr>
      </w:pPr>
    </w:p>
    <w:p w14:paraId="28124288" w14:textId="77777777" w:rsidR="00DB3F38" w:rsidRPr="00DB3F38" w:rsidRDefault="00DB3F38" w:rsidP="00DB3F38">
      <w:pPr>
        <w:jc w:val="center"/>
        <w:rPr>
          <w:b/>
          <w:color w:val="000000"/>
          <w:sz w:val="28"/>
          <w:szCs w:val="28"/>
        </w:rPr>
      </w:pPr>
      <w:r w:rsidRPr="00DB3F38">
        <w:rPr>
          <w:b/>
        </w:rPr>
        <w:t>ДК 021:2015 – 50410000-2</w:t>
      </w:r>
      <w:r w:rsidRPr="00DB3F38">
        <w:t xml:space="preserve"> </w:t>
      </w:r>
      <w:r w:rsidRPr="00DB3F38">
        <w:rPr>
          <w:b/>
        </w:rPr>
        <w:t>Послуги з ремонту і технічного обслуговування вимірювальних, випробувальних і контрольних приладів</w:t>
      </w:r>
    </w:p>
    <w:p w14:paraId="5F8F1566" w14:textId="77777777" w:rsidR="00DB3F38" w:rsidRPr="00DB3F38" w:rsidRDefault="00DB3F38" w:rsidP="00DB3F38">
      <w:pPr>
        <w:jc w:val="center"/>
        <w:rPr>
          <w:b/>
        </w:rPr>
      </w:pPr>
      <w:r w:rsidRPr="00DB3F38">
        <w:rPr>
          <w:b/>
        </w:rPr>
        <w:t>(Послуги з повірки теплового лічильника)</w:t>
      </w:r>
    </w:p>
    <w:p w14:paraId="0F34DA86" w14:textId="77777777" w:rsidR="00DB3F38" w:rsidRPr="00DB3F38" w:rsidRDefault="00DB3F38" w:rsidP="00DB3F38">
      <w:pPr>
        <w:jc w:val="both"/>
      </w:pPr>
    </w:p>
    <w:p w14:paraId="79B012CE" w14:textId="77777777" w:rsidR="00DB3F38" w:rsidRPr="00DB3F38" w:rsidRDefault="00DB3F38" w:rsidP="00DB3F38">
      <w:pPr>
        <w:jc w:val="both"/>
        <w:rPr>
          <w:b/>
        </w:rPr>
      </w:pPr>
      <w:r w:rsidRPr="00DB3F38">
        <w:rPr>
          <w:b/>
        </w:rPr>
        <w:t>Обладнання, що підлягає повірці:</w:t>
      </w:r>
    </w:p>
    <w:p w14:paraId="72CE57A7" w14:textId="77777777" w:rsidR="00DB3F38" w:rsidRPr="00DB3F38" w:rsidRDefault="00DB3F38" w:rsidP="00DB3F38">
      <w:pPr>
        <w:numPr>
          <w:ilvl w:val="0"/>
          <w:numId w:val="42"/>
        </w:numPr>
        <w:jc w:val="both"/>
        <w:rPr>
          <w:b/>
          <w:bCs/>
          <w:u w:val="single"/>
        </w:rPr>
      </w:pPr>
      <w:proofErr w:type="spellStart"/>
      <w:r w:rsidRPr="00DB3F38">
        <w:rPr>
          <w:b/>
          <w:bCs/>
          <w:u w:val="single"/>
        </w:rPr>
        <w:t>Теплолічильник</w:t>
      </w:r>
      <w:proofErr w:type="spellEnd"/>
      <w:r w:rsidRPr="00DB3F38">
        <w:rPr>
          <w:b/>
          <w:bCs/>
          <w:u w:val="single"/>
          <w:lang w:val="en-US"/>
        </w:rPr>
        <w:t xml:space="preserve"> </w:t>
      </w:r>
      <w:proofErr w:type="spellStart"/>
      <w:r w:rsidRPr="00DB3F38">
        <w:rPr>
          <w:b/>
          <w:bCs/>
          <w:u w:val="single"/>
          <w:lang w:val="en-US"/>
        </w:rPr>
        <w:t>Multical</w:t>
      </w:r>
      <w:proofErr w:type="spellEnd"/>
      <w:r w:rsidRPr="00DB3F38">
        <w:rPr>
          <w:b/>
          <w:bCs/>
          <w:u w:val="single"/>
          <w:lang w:val="en-US"/>
        </w:rPr>
        <w:t xml:space="preserve"> 602</w:t>
      </w:r>
      <w:r w:rsidRPr="00DB3F38">
        <w:rPr>
          <w:b/>
          <w:bCs/>
          <w:u w:val="single"/>
        </w:rPr>
        <w:t>;</w:t>
      </w:r>
    </w:p>
    <w:p w14:paraId="71059461" w14:textId="77777777" w:rsidR="00DB3F38" w:rsidRPr="00DB3F38" w:rsidRDefault="00DB3F38" w:rsidP="00DB3F38">
      <w:pPr>
        <w:spacing w:line="0" w:lineRule="atLeast"/>
        <w:contextualSpacing/>
        <w:jc w:val="both"/>
        <w:rPr>
          <w:b/>
          <w:lang w:val="ru-RU"/>
        </w:rPr>
      </w:pPr>
    </w:p>
    <w:p w14:paraId="7E1A5109" w14:textId="77777777" w:rsidR="00DB3F38" w:rsidRPr="00DB3F38" w:rsidRDefault="00DB3F38" w:rsidP="00DB3F38">
      <w:pPr>
        <w:spacing w:line="0" w:lineRule="atLeast"/>
        <w:contextualSpacing/>
        <w:jc w:val="both"/>
      </w:pPr>
      <w:r w:rsidRPr="00DB3F38">
        <w:rPr>
          <w:b/>
        </w:rPr>
        <w:t>Строк надання послуг</w:t>
      </w:r>
      <w:r w:rsidRPr="00DB3F38">
        <w:t>:</w:t>
      </w:r>
    </w:p>
    <w:p w14:paraId="52A3B397" w14:textId="77777777" w:rsidR="00DB3F38" w:rsidRPr="00DB3F38" w:rsidRDefault="00DB3F38" w:rsidP="00DB3F38">
      <w:pPr>
        <w:spacing w:line="0" w:lineRule="atLeast"/>
        <w:ind w:firstLine="708"/>
        <w:contextualSpacing/>
        <w:jc w:val="both"/>
        <w:rPr>
          <w:b/>
        </w:rPr>
      </w:pPr>
      <w:r w:rsidRPr="00DB3F38">
        <w:t xml:space="preserve"> </w:t>
      </w:r>
      <w:r w:rsidRPr="00DB3F38">
        <w:rPr>
          <w:b/>
        </w:rPr>
        <w:t xml:space="preserve">До </w:t>
      </w:r>
      <w:r w:rsidRPr="00DB3F38">
        <w:rPr>
          <w:b/>
          <w:lang w:val="en-US"/>
        </w:rPr>
        <w:t>3</w:t>
      </w:r>
      <w:r w:rsidRPr="00DB3F38">
        <w:rPr>
          <w:b/>
        </w:rPr>
        <w:t>0.09.2025 року;</w:t>
      </w:r>
    </w:p>
    <w:p w14:paraId="6D2D824B" w14:textId="77777777" w:rsidR="00DB3F38" w:rsidRPr="00DB3F38" w:rsidRDefault="00DB3F38" w:rsidP="00DB3F38">
      <w:pPr>
        <w:spacing w:line="0" w:lineRule="atLeast"/>
        <w:ind w:firstLine="708"/>
        <w:contextualSpacing/>
        <w:jc w:val="both"/>
        <w:rPr>
          <w:b/>
        </w:rPr>
      </w:pPr>
    </w:p>
    <w:p w14:paraId="05EC5A4E" w14:textId="77777777" w:rsidR="00DB3F38" w:rsidRPr="00DB3F38" w:rsidRDefault="00DB3F38" w:rsidP="00DB3F38">
      <w:pPr>
        <w:keepLines/>
        <w:spacing w:line="0" w:lineRule="atLeast"/>
        <w:ind w:firstLine="709"/>
        <w:contextualSpacing/>
        <w:jc w:val="both"/>
        <w:rPr>
          <w:color w:val="000000"/>
        </w:rPr>
      </w:pPr>
      <w:r w:rsidRPr="00DB3F38">
        <w:rPr>
          <w:color w:val="000000"/>
        </w:rPr>
        <w:t>Послуги з повірки надаються відповідно до вимог Закону України «Про метрологію та метрологічну діяльність» від 05.06.2014 № 1314-</w:t>
      </w:r>
      <w:r w:rsidRPr="00DB3F38">
        <w:rPr>
          <w:color w:val="000000"/>
          <w:lang w:val="en-US"/>
        </w:rPr>
        <w:t>VII</w:t>
      </w:r>
      <w:r w:rsidRPr="00DB3F38">
        <w:rPr>
          <w:color w:val="000000"/>
        </w:rPr>
        <w:t xml:space="preserve"> (зі змінами), «</w:t>
      </w:r>
      <w:r w:rsidRPr="00DB3F38">
        <w:rPr>
          <w:bCs/>
          <w:shd w:val="clear" w:color="auto" w:fill="FFFFFF"/>
        </w:rPr>
        <w:t>Про затвердження переліку категорій законодавчо регульованих засобів вимірювальної техніки, що підлягають періодичній повірці</w:t>
      </w:r>
      <w:r w:rsidRPr="00DB3F38">
        <w:t xml:space="preserve">» </w:t>
      </w:r>
      <w:hyperlink r:id="rId7" w:anchor="Text" w:history="1">
        <w:r w:rsidRPr="00DB3F38">
          <w:t>постанова</w:t>
        </w:r>
        <w:r w:rsidRPr="00DB3F38">
          <w:rPr>
            <w:lang w:val="en-US"/>
          </w:rPr>
          <w:t> </w:t>
        </w:r>
        <w:r w:rsidRPr="00DB3F38">
          <w:t>КМУ №374 від 4 червня 2015 р.</w:t>
        </w:r>
      </w:hyperlink>
      <w:r w:rsidRPr="00DB3F38">
        <w:rPr>
          <w:shd w:val="clear" w:color="auto" w:fill="FFFFFF"/>
        </w:rPr>
        <w:t xml:space="preserve">, </w:t>
      </w:r>
      <w:r w:rsidRPr="00DB3F38">
        <w:rPr>
          <w:color w:val="000000"/>
        </w:rPr>
        <w:t xml:space="preserve">Порядку проведення повірки законодавчо регульованих засобів вимірювальної техніки, що перебувають в експлуатації, та оформлення її результатів, затвердженого наказом Міністерства економічного розвитку і торгівлі України від 08.02.2016 № 193 (зі змінами), </w:t>
      </w:r>
      <w:proofErr w:type="spellStart"/>
      <w:r w:rsidRPr="00DB3F38">
        <w:rPr>
          <w:color w:val="000000"/>
        </w:rPr>
        <w:t>Міжповірочних</w:t>
      </w:r>
      <w:proofErr w:type="spellEnd"/>
      <w:r w:rsidRPr="00DB3F38">
        <w:rPr>
          <w:color w:val="000000"/>
        </w:rPr>
        <w:t xml:space="preserve"> інтервалів законодавчо регульованих засобів вимірювальної техніки, що перебувають в експлуатації, за категоріями, затверджених Наказом </w:t>
      </w:r>
      <w:hyperlink r:id="rId8" w:anchor="Text" w:history="1">
        <w:r w:rsidRPr="00DB3F38">
          <w:t xml:space="preserve"> </w:t>
        </w:r>
        <w:proofErr w:type="spellStart"/>
        <w:r w:rsidRPr="00DB3F38">
          <w:t>Мінекономрозвитку</w:t>
        </w:r>
        <w:proofErr w:type="spellEnd"/>
        <w:r w:rsidRPr="00DB3F38">
          <w:t xml:space="preserve"> України №1747 від 13.10.2016 р.</w:t>
        </w:r>
      </w:hyperlink>
      <w:r w:rsidRPr="00DB3F38">
        <w:rPr>
          <w:color w:val="000000"/>
        </w:rPr>
        <w:t xml:space="preserve"> (зі змінами) та інших нормативних документів. Послуги повинні бути проведені згідно з діючими методиками з використанням відповідних еталонів, що мають чинні сертифікати калібрування. </w:t>
      </w:r>
    </w:p>
    <w:p w14:paraId="57511AE8" w14:textId="77777777" w:rsidR="00DB3F38" w:rsidRPr="00DB3F38" w:rsidRDefault="00DB3F38" w:rsidP="00DB3F38">
      <w:pPr>
        <w:pStyle w:val="af5"/>
        <w:numPr>
          <w:ilvl w:val="0"/>
          <w:numId w:val="43"/>
        </w:numPr>
        <w:spacing w:after="0" w:afterAutospacing="0" w:line="0" w:lineRule="atLeast"/>
        <w:contextualSpacing/>
        <w:jc w:val="both"/>
        <w:rPr>
          <w:b/>
          <w:color w:val="000000"/>
        </w:rPr>
      </w:pPr>
      <w:r w:rsidRPr="00DB3F38">
        <w:rPr>
          <w:b/>
          <w:color w:val="000000"/>
        </w:rPr>
        <w:lastRenderedPageBreak/>
        <w:t>Перелік робіт, що входять до складу послуги з повірки:</w:t>
      </w:r>
    </w:p>
    <w:p w14:paraId="5D821570" w14:textId="77777777" w:rsidR="00DB3F38" w:rsidRPr="00DB3F38" w:rsidRDefault="00DB3F38" w:rsidP="00DB3F38">
      <w:pPr>
        <w:pStyle w:val="af5"/>
        <w:numPr>
          <w:ilvl w:val="0"/>
          <w:numId w:val="42"/>
        </w:numPr>
        <w:spacing w:after="0" w:afterAutospacing="0" w:line="0" w:lineRule="atLeast"/>
        <w:contextualSpacing/>
        <w:jc w:val="both"/>
      </w:pPr>
      <w:r w:rsidRPr="00DB3F38">
        <w:rPr>
          <w:b/>
          <w:bCs/>
          <w:u w:val="single"/>
        </w:rPr>
        <w:t xml:space="preserve">демонтаж </w:t>
      </w:r>
      <w:proofErr w:type="spellStart"/>
      <w:r w:rsidRPr="00DB3F38">
        <w:rPr>
          <w:b/>
          <w:bCs/>
          <w:u w:val="single"/>
        </w:rPr>
        <w:t>теплолічильника</w:t>
      </w:r>
      <w:proofErr w:type="spellEnd"/>
      <w:r w:rsidRPr="00DB3F38">
        <w:t xml:space="preserve"> на об’єкті Замовника;</w:t>
      </w:r>
    </w:p>
    <w:p w14:paraId="627D5DC0" w14:textId="77777777" w:rsidR="00DB3F38" w:rsidRPr="00DB3F38" w:rsidRDefault="00DB3F38" w:rsidP="00DB3F38">
      <w:pPr>
        <w:pStyle w:val="af5"/>
        <w:numPr>
          <w:ilvl w:val="0"/>
          <w:numId w:val="42"/>
        </w:numPr>
        <w:spacing w:after="0" w:afterAutospacing="0" w:line="0" w:lineRule="atLeast"/>
        <w:contextualSpacing/>
        <w:jc w:val="both"/>
      </w:pPr>
      <w:r w:rsidRPr="00DB3F38">
        <w:t>технічне обслуговування у відповідності з ТО-1, ТО-2;</w:t>
      </w:r>
    </w:p>
    <w:p w14:paraId="7E827672" w14:textId="77777777" w:rsidR="00DB3F38" w:rsidRPr="00DB3F38" w:rsidRDefault="00DB3F38" w:rsidP="00DB3F38">
      <w:pPr>
        <w:pStyle w:val="af5"/>
        <w:numPr>
          <w:ilvl w:val="0"/>
          <w:numId w:val="42"/>
        </w:numPr>
        <w:spacing w:after="0" w:afterAutospacing="0" w:line="0" w:lineRule="atLeast"/>
        <w:contextualSpacing/>
        <w:jc w:val="both"/>
      </w:pPr>
      <w:r w:rsidRPr="00DB3F38">
        <w:rPr>
          <w:b/>
          <w:bCs/>
          <w:u w:val="single"/>
        </w:rPr>
        <w:t>регулювання та калібрування</w:t>
      </w:r>
      <w:r w:rsidRPr="00DB3F38">
        <w:t xml:space="preserve"> електронного блоку та витратоміра </w:t>
      </w:r>
      <w:proofErr w:type="spellStart"/>
      <w:r w:rsidRPr="00DB3F38">
        <w:t>теплолічильника</w:t>
      </w:r>
      <w:proofErr w:type="spellEnd"/>
      <w:r w:rsidRPr="00DB3F38">
        <w:t>;</w:t>
      </w:r>
    </w:p>
    <w:p w14:paraId="6E070299" w14:textId="77777777" w:rsidR="00DB3F38" w:rsidRPr="00DB3F38" w:rsidRDefault="00DB3F38" w:rsidP="00DB3F38">
      <w:pPr>
        <w:pStyle w:val="af5"/>
        <w:numPr>
          <w:ilvl w:val="0"/>
          <w:numId w:val="42"/>
        </w:numPr>
        <w:spacing w:after="0" w:afterAutospacing="0" w:line="0" w:lineRule="atLeast"/>
        <w:contextualSpacing/>
        <w:jc w:val="both"/>
      </w:pPr>
      <w:r w:rsidRPr="00DB3F38">
        <w:rPr>
          <w:b/>
          <w:bCs/>
          <w:u w:val="single"/>
        </w:rPr>
        <w:t xml:space="preserve">метрологічна повірка </w:t>
      </w:r>
      <w:proofErr w:type="spellStart"/>
      <w:r w:rsidRPr="00DB3F38">
        <w:rPr>
          <w:b/>
          <w:bCs/>
          <w:u w:val="single"/>
        </w:rPr>
        <w:t>теплолічильника</w:t>
      </w:r>
      <w:proofErr w:type="spellEnd"/>
      <w:r w:rsidRPr="00DB3F38">
        <w:t xml:space="preserve"> у відповідності з методикою повірки з відміткою у паспорті </w:t>
      </w:r>
      <w:proofErr w:type="spellStart"/>
      <w:r w:rsidRPr="00DB3F38">
        <w:t>теплолічильника</w:t>
      </w:r>
      <w:proofErr w:type="spellEnd"/>
      <w:r w:rsidRPr="00DB3F38">
        <w:t xml:space="preserve"> та з оформленням свідоцтва про метрологічну повірку;</w:t>
      </w:r>
    </w:p>
    <w:p w14:paraId="1DFBAC48" w14:textId="77777777" w:rsidR="00DB3F38" w:rsidRPr="00DB3F38" w:rsidRDefault="00DB3F38" w:rsidP="00DB3F38">
      <w:pPr>
        <w:pStyle w:val="af5"/>
        <w:numPr>
          <w:ilvl w:val="0"/>
          <w:numId w:val="42"/>
        </w:numPr>
        <w:spacing w:after="0" w:afterAutospacing="0" w:line="0" w:lineRule="atLeast"/>
        <w:contextualSpacing/>
        <w:jc w:val="both"/>
      </w:pPr>
      <w:r w:rsidRPr="00DB3F38">
        <w:rPr>
          <w:b/>
          <w:bCs/>
          <w:u w:val="single"/>
        </w:rPr>
        <w:t xml:space="preserve">доставка  та монтаж повіреного </w:t>
      </w:r>
      <w:proofErr w:type="spellStart"/>
      <w:r w:rsidRPr="00DB3F38">
        <w:rPr>
          <w:b/>
          <w:bCs/>
          <w:u w:val="single"/>
        </w:rPr>
        <w:t>теплолічильника</w:t>
      </w:r>
      <w:proofErr w:type="spellEnd"/>
      <w:r w:rsidRPr="00DB3F38">
        <w:t xml:space="preserve"> на </w:t>
      </w:r>
      <w:proofErr w:type="spellStart"/>
      <w:r w:rsidRPr="00DB3F38">
        <w:t>обєкті</w:t>
      </w:r>
      <w:proofErr w:type="spellEnd"/>
      <w:r w:rsidRPr="00DB3F38">
        <w:t xml:space="preserve"> «Замовника»</w:t>
      </w:r>
    </w:p>
    <w:p w14:paraId="5B0D1401" w14:textId="77777777" w:rsidR="00DB3F38" w:rsidRPr="00DB3F38" w:rsidRDefault="00DB3F38" w:rsidP="00DB3F38">
      <w:pPr>
        <w:pStyle w:val="af5"/>
        <w:numPr>
          <w:ilvl w:val="0"/>
          <w:numId w:val="42"/>
        </w:numPr>
        <w:spacing w:after="0" w:afterAutospacing="0" w:line="0" w:lineRule="atLeast"/>
        <w:contextualSpacing/>
        <w:jc w:val="both"/>
      </w:pPr>
      <w:r w:rsidRPr="00DB3F38">
        <w:rPr>
          <w:b/>
          <w:bCs/>
          <w:u w:val="single"/>
        </w:rPr>
        <w:t xml:space="preserve">запуск </w:t>
      </w:r>
      <w:proofErr w:type="spellStart"/>
      <w:r w:rsidRPr="00DB3F38">
        <w:t>теплолічильника</w:t>
      </w:r>
      <w:proofErr w:type="spellEnd"/>
      <w:r w:rsidRPr="00DB3F38">
        <w:t xml:space="preserve"> в роботу.</w:t>
      </w:r>
    </w:p>
    <w:p w14:paraId="1FC56001" w14:textId="77777777" w:rsidR="00DB3F38" w:rsidRPr="00DB3F38" w:rsidRDefault="00DB3F38" w:rsidP="00DB3F38">
      <w:pPr>
        <w:pStyle w:val="af5"/>
        <w:spacing w:after="0" w:afterAutospacing="0" w:line="0" w:lineRule="atLeast"/>
        <w:contextualSpacing/>
        <w:jc w:val="both"/>
        <w:rPr>
          <w:color w:val="000000"/>
        </w:rPr>
      </w:pPr>
    </w:p>
    <w:p w14:paraId="7200C094" w14:textId="77777777" w:rsidR="00DB3F38" w:rsidRPr="00DB3F38" w:rsidRDefault="00DB3F38" w:rsidP="00DB3F38">
      <w:pPr>
        <w:pStyle w:val="af5"/>
        <w:spacing w:after="0" w:afterAutospacing="0" w:line="0" w:lineRule="atLeast"/>
        <w:contextualSpacing/>
        <w:jc w:val="both"/>
        <w:rPr>
          <w:color w:val="000000"/>
        </w:rPr>
      </w:pPr>
      <w:r w:rsidRPr="00DB3F38">
        <w:rPr>
          <w:color w:val="000000"/>
        </w:rPr>
        <w:t>2. Загальні вимоги:</w:t>
      </w:r>
    </w:p>
    <w:p w14:paraId="21E8F324" w14:textId="77777777" w:rsidR="00DB3F38" w:rsidRPr="00DB3F38" w:rsidRDefault="00DB3F38" w:rsidP="00DB3F38">
      <w:pPr>
        <w:pStyle w:val="af5"/>
        <w:spacing w:after="0" w:afterAutospacing="0" w:line="0" w:lineRule="atLeast"/>
        <w:contextualSpacing/>
        <w:jc w:val="both"/>
        <w:rPr>
          <w:color w:val="000000"/>
        </w:rPr>
      </w:pPr>
      <w:r w:rsidRPr="00DB3F38">
        <w:rPr>
          <w:color w:val="000000"/>
        </w:rPr>
        <w:t>Послуги надаються: з понеділка по п’ятницю відповідно до заявки Замовника.</w:t>
      </w:r>
    </w:p>
    <w:p w14:paraId="00C46BD9" w14:textId="77777777" w:rsidR="00DB3F38" w:rsidRPr="00DB3F38" w:rsidRDefault="00DB3F38" w:rsidP="00DB3F38">
      <w:pPr>
        <w:pStyle w:val="af5"/>
        <w:spacing w:after="0" w:afterAutospacing="0" w:line="0" w:lineRule="atLeast"/>
        <w:contextualSpacing/>
        <w:jc w:val="both"/>
        <w:rPr>
          <w:u w:val="single"/>
        </w:rPr>
      </w:pPr>
      <w:r w:rsidRPr="00DB3F38">
        <w:rPr>
          <w:color w:val="000000"/>
        </w:rPr>
        <w:t xml:space="preserve">- </w:t>
      </w:r>
      <w:r w:rsidRPr="00DB3F38">
        <w:rPr>
          <w:b/>
          <w:color w:val="000000"/>
        </w:rPr>
        <w:t xml:space="preserve">Місце </w:t>
      </w:r>
      <w:r w:rsidRPr="00DB3F38">
        <w:rPr>
          <w:b/>
        </w:rPr>
        <w:t>надання послуг:</w:t>
      </w:r>
      <w:r w:rsidRPr="00DB3F38">
        <w:t xml:space="preserve"> </w:t>
      </w:r>
      <w:r w:rsidRPr="00DB3F38">
        <w:rPr>
          <w:u w:val="single"/>
        </w:rPr>
        <w:t xml:space="preserve">Вінницька обл., </w:t>
      </w:r>
      <w:proofErr w:type="spellStart"/>
      <w:r w:rsidRPr="00DB3F38">
        <w:rPr>
          <w:u w:val="single"/>
        </w:rPr>
        <w:t>м.Вінниця</w:t>
      </w:r>
      <w:proofErr w:type="spellEnd"/>
      <w:r w:rsidRPr="00DB3F38">
        <w:rPr>
          <w:u w:val="single"/>
        </w:rPr>
        <w:t>, вул.Лебединського,17.</w:t>
      </w:r>
    </w:p>
    <w:p w14:paraId="0A6A070D" w14:textId="77777777" w:rsidR="00DB3F38" w:rsidRPr="00DB3F38" w:rsidRDefault="00DB3F38" w:rsidP="00DB3F38">
      <w:pPr>
        <w:pStyle w:val="af5"/>
        <w:spacing w:after="0" w:afterAutospacing="0" w:line="0" w:lineRule="atLeast"/>
        <w:contextualSpacing/>
        <w:jc w:val="both"/>
      </w:pPr>
    </w:p>
    <w:p w14:paraId="209D3F70" w14:textId="77777777" w:rsidR="00DB3F38" w:rsidRPr="00DB3F38" w:rsidRDefault="00DB3F38" w:rsidP="00DB3F38">
      <w:pPr>
        <w:pStyle w:val="af5"/>
        <w:spacing w:after="0" w:afterAutospacing="0" w:line="0" w:lineRule="atLeast"/>
        <w:contextualSpacing/>
        <w:jc w:val="both"/>
        <w:rPr>
          <w:color w:val="FF0000"/>
        </w:rPr>
      </w:pPr>
      <w:r w:rsidRPr="00DB3F38">
        <w:t xml:space="preserve"> Виконавець зобов'язаний надавати послуги, використовуючи: свій інвентар, обладнання, інструмент, спецодяг, транспорт і </w:t>
      </w:r>
      <w:proofErr w:type="spellStart"/>
      <w:r w:rsidRPr="00DB3F38">
        <w:t>т.д</w:t>
      </w:r>
      <w:proofErr w:type="spellEnd"/>
      <w:r w:rsidRPr="00DB3F38">
        <w:t>., тобто в ціну послуги повинні бути включені всі витрати, пов'язані з виконанням цієї послуги</w:t>
      </w:r>
      <w:r w:rsidRPr="00DB3F38">
        <w:rPr>
          <w:color w:val="FF0000"/>
        </w:rPr>
        <w:t>.</w:t>
      </w:r>
    </w:p>
    <w:p w14:paraId="4B977621" w14:textId="77777777" w:rsidR="00DB3F38" w:rsidRPr="00DB3F38" w:rsidRDefault="00DB3F38" w:rsidP="00DB3F38">
      <w:pPr>
        <w:pStyle w:val="af5"/>
        <w:spacing w:after="0" w:afterAutospacing="0" w:line="0" w:lineRule="atLeast"/>
        <w:contextualSpacing/>
        <w:jc w:val="both"/>
        <w:rPr>
          <w:color w:val="000000"/>
        </w:rPr>
      </w:pPr>
      <w:r w:rsidRPr="00DB3F38">
        <w:rPr>
          <w:color w:val="000000"/>
        </w:rPr>
        <w:t>- Виконавець приступає до робіт тільки після узгодження дати виконання робіт з відповідальною особою Замовника та отримання від нього дозволу. Після закінчення робіт Виконавець здійснює здачу наданої послуги.</w:t>
      </w:r>
    </w:p>
    <w:p w14:paraId="0C9BA84B" w14:textId="77777777" w:rsidR="00DB3F38" w:rsidRPr="00DB3F38" w:rsidRDefault="00DB3F38" w:rsidP="00DB3F38">
      <w:pPr>
        <w:pStyle w:val="af5"/>
        <w:spacing w:after="0" w:afterAutospacing="0" w:line="0" w:lineRule="atLeast"/>
        <w:contextualSpacing/>
        <w:jc w:val="both"/>
        <w:rPr>
          <w:color w:val="000000"/>
        </w:rPr>
      </w:pPr>
      <w:r w:rsidRPr="00DB3F38">
        <w:rPr>
          <w:color w:val="000000"/>
        </w:rPr>
        <w:t>-  Повірку ЗВТ проводять представники Виконавця.</w:t>
      </w:r>
    </w:p>
    <w:p w14:paraId="4A940E60" w14:textId="77777777" w:rsidR="00DB3F38" w:rsidRPr="00DB3F38" w:rsidRDefault="00DB3F38" w:rsidP="00DB3F38">
      <w:pPr>
        <w:pStyle w:val="af5"/>
        <w:spacing w:after="0" w:afterAutospacing="0" w:line="0" w:lineRule="atLeast"/>
        <w:contextualSpacing/>
        <w:jc w:val="both"/>
        <w:rPr>
          <w:color w:val="000000"/>
        </w:rPr>
      </w:pPr>
      <w:r w:rsidRPr="00DB3F38">
        <w:rPr>
          <w:color w:val="000000"/>
        </w:rPr>
        <w:t>- Послуги, що надаватимуться відповідно до цього технічного завдання повинні відповідати вимогам чинного Закону України «Про метрологію та метрологічну діяльність».</w:t>
      </w:r>
    </w:p>
    <w:p w14:paraId="2CF85D81" w14:textId="77777777" w:rsidR="00DB3F38" w:rsidRPr="00DB3F38" w:rsidRDefault="00DB3F38" w:rsidP="00DB3F38">
      <w:pPr>
        <w:pStyle w:val="af5"/>
        <w:spacing w:after="0" w:afterAutospacing="0" w:line="0" w:lineRule="atLeast"/>
        <w:contextualSpacing/>
        <w:jc w:val="both"/>
        <w:rPr>
          <w:color w:val="000000"/>
        </w:rPr>
      </w:pPr>
      <w:r w:rsidRPr="00DB3F38">
        <w:rPr>
          <w:color w:val="000000"/>
        </w:rPr>
        <w:t>-  Послуги повинні надаватися в порядку, встановленому постановою Кабінету Міністрів України «Про затвердження Порядку подання засобів вимірювальної техніки на періодичну повірку, обслуговування та ремонт» від 08.07.2015р. № 474, в редакції від 31.10.2018 (далі Порядок).</w:t>
      </w:r>
    </w:p>
    <w:p w14:paraId="4F27F587" w14:textId="77777777" w:rsidR="00DB3F38" w:rsidRPr="00DB3F38" w:rsidRDefault="00DB3F38" w:rsidP="00DB3F38">
      <w:pPr>
        <w:pStyle w:val="af5"/>
        <w:spacing w:after="0" w:afterAutospacing="0" w:line="0" w:lineRule="atLeast"/>
        <w:contextualSpacing/>
        <w:jc w:val="both"/>
        <w:rPr>
          <w:color w:val="000000"/>
        </w:rPr>
      </w:pPr>
      <w:r w:rsidRPr="00DB3F38">
        <w:rPr>
          <w:color w:val="000000"/>
        </w:rPr>
        <w:t xml:space="preserve">-  Підтвердженням проведення повірки ЗВТ є – «Свідоцтво про повірку законодавчо регульованого засобу вимірювальної техніки», встановленого зразка з відбитком </w:t>
      </w:r>
      <w:proofErr w:type="spellStart"/>
      <w:r w:rsidRPr="00DB3F38">
        <w:rPr>
          <w:color w:val="000000"/>
        </w:rPr>
        <w:t>повірочного</w:t>
      </w:r>
      <w:proofErr w:type="spellEnd"/>
      <w:r w:rsidRPr="00DB3F38">
        <w:rPr>
          <w:color w:val="000000"/>
        </w:rPr>
        <w:t xml:space="preserve"> тавра повірника. У разі визнання повірником ЗВТ непридатним до подальшої експлуатації, підтвердженням проведення повірки є «Довідка про непридатність до подальшої експлуатації», встановленого зразка з відбитком </w:t>
      </w:r>
      <w:proofErr w:type="spellStart"/>
      <w:r w:rsidRPr="00DB3F38">
        <w:rPr>
          <w:color w:val="000000"/>
        </w:rPr>
        <w:t>повірочного</w:t>
      </w:r>
      <w:proofErr w:type="spellEnd"/>
      <w:r w:rsidRPr="00DB3F38">
        <w:rPr>
          <w:color w:val="000000"/>
        </w:rPr>
        <w:t xml:space="preserve"> тавра повірника.</w:t>
      </w:r>
    </w:p>
    <w:p w14:paraId="4B0329D0" w14:textId="77777777" w:rsidR="00DB3F38" w:rsidRPr="00DB3F38" w:rsidRDefault="00DB3F38" w:rsidP="00DB3F38">
      <w:pPr>
        <w:pStyle w:val="af5"/>
        <w:spacing w:after="0" w:afterAutospacing="0" w:line="0" w:lineRule="atLeast"/>
        <w:contextualSpacing/>
        <w:jc w:val="both"/>
      </w:pPr>
      <w:r w:rsidRPr="00DB3F38">
        <w:rPr>
          <w:color w:val="000000"/>
        </w:rPr>
        <w:t xml:space="preserve">3. </w:t>
      </w:r>
      <w:r w:rsidRPr="00DB3F38">
        <w:t>Послуги, що надаватимуться відповідно до цього технічного завдання повинні відповідати вимогам:</w:t>
      </w:r>
    </w:p>
    <w:p w14:paraId="5367EE5F" w14:textId="77777777" w:rsidR="00DB3F38" w:rsidRPr="00DB3F38" w:rsidRDefault="00DB3F38" w:rsidP="00DB3F38">
      <w:pPr>
        <w:pStyle w:val="af5"/>
        <w:spacing w:after="0" w:afterAutospacing="0" w:line="0" w:lineRule="atLeast"/>
        <w:contextualSpacing/>
        <w:jc w:val="both"/>
      </w:pPr>
      <w:r w:rsidRPr="00DB3F38">
        <w:t>-Повірка ЗВТ повинна бути проведена, згідно з діючими методиками повірки з використанням еталонів, що мають чинні сертифікати калібрування.</w:t>
      </w:r>
    </w:p>
    <w:p w14:paraId="55309C3C" w14:textId="77777777" w:rsidR="00DB3F38" w:rsidRPr="00DB3F38" w:rsidRDefault="00DB3F38" w:rsidP="00DB3F38">
      <w:pPr>
        <w:pStyle w:val="af5"/>
        <w:spacing w:after="0" w:afterAutospacing="0" w:line="0" w:lineRule="atLeast"/>
        <w:contextualSpacing/>
        <w:jc w:val="both"/>
        <w:rPr>
          <w:color w:val="000000"/>
        </w:rPr>
      </w:pPr>
      <w:r w:rsidRPr="00DB3F38">
        <w:rPr>
          <w:color w:val="000000"/>
        </w:rPr>
        <w:t>4. Послуги вважаються наданими після підписання Акту здачі-приймання послуг Сторонами. За результатами повірки Виконавець має надати Замовнику «Свідоцтво про повірку» або «Довідку про непридатність».</w:t>
      </w:r>
    </w:p>
    <w:p w14:paraId="44E68EF3" w14:textId="77777777" w:rsidR="00DB3F38" w:rsidRPr="00DB3F38" w:rsidRDefault="00DB3F38" w:rsidP="00DB3F38">
      <w:pPr>
        <w:autoSpaceDE w:val="0"/>
        <w:autoSpaceDN w:val="0"/>
        <w:spacing w:line="0" w:lineRule="atLeast"/>
        <w:contextualSpacing/>
        <w:jc w:val="both"/>
      </w:pPr>
      <w:r w:rsidRPr="00DB3F38">
        <w:rPr>
          <w:b/>
        </w:rPr>
        <w:t xml:space="preserve">Умови оплати: </w:t>
      </w:r>
      <w:r w:rsidRPr="00DB3F38">
        <w:t>Оплата по факту надання послуги протягом 10 (десяти) календарних днів з дати підписання акту надання послуг.</w:t>
      </w:r>
    </w:p>
    <w:p w14:paraId="22978EEB" w14:textId="77777777" w:rsidR="002E22B7" w:rsidRPr="00DB3F38" w:rsidRDefault="002E22B7" w:rsidP="00DB3F38">
      <w:pPr>
        <w:jc w:val="both"/>
        <w:rPr>
          <w:sz w:val="22"/>
          <w:szCs w:val="22"/>
          <w:lang w:eastAsia="uk-UA"/>
        </w:rPr>
      </w:pPr>
    </w:p>
    <w:p w14:paraId="599F2B14" w14:textId="1EA9B449" w:rsidR="0044255F" w:rsidRPr="00DB3F38" w:rsidRDefault="006438F8" w:rsidP="000E4AC7">
      <w:pPr>
        <w:tabs>
          <w:tab w:val="left" w:pos="180"/>
        </w:tabs>
        <w:jc w:val="both"/>
        <w:rPr>
          <w:b/>
        </w:rPr>
      </w:pPr>
      <w:r w:rsidRPr="00DB3F38">
        <w:rPr>
          <w:b/>
        </w:rPr>
        <w:t xml:space="preserve">       </w:t>
      </w:r>
      <w:r w:rsidR="00A0247F" w:rsidRPr="00DB3F38">
        <w:rPr>
          <w:b/>
        </w:rPr>
        <w:t>5. Обґрунтування розміру бюджетного призначення:</w:t>
      </w:r>
      <w:r w:rsidR="00A0247F" w:rsidRPr="00DB3F38">
        <w:t xml:space="preserve"> розмір бюджетного призначення </w:t>
      </w:r>
      <w:r w:rsidR="0044255F" w:rsidRPr="00DB3F38">
        <w:t>для предмет</w:t>
      </w:r>
      <w:r w:rsidR="00270EDE" w:rsidRPr="00DB3F38">
        <w:t>у</w:t>
      </w:r>
      <w:r w:rsidR="0044255F" w:rsidRPr="00DB3F38">
        <w:t xml:space="preserve"> закупів</w:t>
      </w:r>
      <w:r w:rsidR="007C2BD8" w:rsidRPr="00DB3F38">
        <w:t>л</w:t>
      </w:r>
      <w:r w:rsidR="00270EDE" w:rsidRPr="00DB3F38">
        <w:t>і</w:t>
      </w:r>
      <w:r w:rsidR="0044255F" w:rsidRPr="00DB3F38">
        <w:t xml:space="preserve"> відповідає розрахунку видатків до кошторису </w:t>
      </w:r>
      <w:r w:rsidR="00290903" w:rsidRPr="00DB3F38">
        <w:t>Вінницької</w:t>
      </w:r>
      <w:r w:rsidR="00270EDE" w:rsidRPr="00DB3F38">
        <w:t xml:space="preserve"> митниці </w:t>
      </w:r>
      <w:r w:rsidR="0044255F" w:rsidRPr="00DB3F38">
        <w:t>на 202</w:t>
      </w:r>
      <w:r w:rsidR="009E158C" w:rsidRPr="00DB3F38">
        <w:t>5</w:t>
      </w:r>
      <w:r w:rsidR="0044255F" w:rsidRPr="00DB3F38">
        <w:t xml:space="preserve"> рік </w:t>
      </w:r>
      <w:r w:rsidR="00EF4CD6" w:rsidRPr="00DB3F38">
        <w:t xml:space="preserve">(зі змінами) по </w:t>
      </w:r>
      <w:r w:rsidR="0044255F" w:rsidRPr="00DB3F38">
        <w:t>загальн</w:t>
      </w:r>
      <w:r w:rsidR="00EF4CD6" w:rsidRPr="00DB3F38">
        <w:t>ому</w:t>
      </w:r>
      <w:r w:rsidR="0044255F" w:rsidRPr="00DB3F38">
        <w:t xml:space="preserve"> фонд</w:t>
      </w:r>
      <w:r w:rsidR="00EF4CD6" w:rsidRPr="00DB3F38">
        <w:t>у</w:t>
      </w:r>
      <w:r w:rsidR="0044255F" w:rsidRPr="00DB3F38">
        <w:t xml:space="preserve"> за КПКВК 3506010 «Керівництво та управління у сфері митної політики»</w:t>
      </w:r>
      <w:r w:rsidR="00853255" w:rsidRPr="00DB3F38">
        <w:t xml:space="preserve"> з урахуванням середньої ринкової вартості аналогічних </w:t>
      </w:r>
      <w:r w:rsidR="00726764" w:rsidRPr="00DB3F38">
        <w:t>п</w:t>
      </w:r>
      <w:r w:rsidR="00853255" w:rsidRPr="00DB3F38">
        <w:t>о</w:t>
      </w:r>
      <w:r w:rsidR="00726764" w:rsidRPr="00DB3F38">
        <w:t>слуг</w:t>
      </w:r>
      <w:r w:rsidR="0044255F" w:rsidRPr="00DB3F38">
        <w:t>.</w:t>
      </w:r>
    </w:p>
    <w:p w14:paraId="4A447243" w14:textId="77777777" w:rsidR="0044255F" w:rsidRPr="00DB3F38" w:rsidRDefault="0044255F" w:rsidP="007919B9">
      <w:pPr>
        <w:ind w:firstLine="567"/>
        <w:contextualSpacing/>
        <w:jc w:val="both"/>
      </w:pPr>
    </w:p>
    <w:p w14:paraId="3EE03F91" w14:textId="016A3134" w:rsidR="007F146A" w:rsidRPr="00DB3F38" w:rsidRDefault="00A0247F" w:rsidP="00AB441C">
      <w:pPr>
        <w:ind w:firstLine="426"/>
        <w:contextualSpacing/>
        <w:jc w:val="both"/>
      </w:pPr>
      <w:r w:rsidRPr="00DB3F38">
        <w:rPr>
          <w:b/>
        </w:rPr>
        <w:t>6. Очікувана вартість предмета закупівлі:</w:t>
      </w:r>
      <w:r w:rsidR="00500435" w:rsidRPr="00DB3F38">
        <w:rPr>
          <w:b/>
        </w:rPr>
        <w:t xml:space="preserve"> </w:t>
      </w:r>
      <w:r w:rsidR="0034128E" w:rsidRPr="00DB3F38">
        <w:rPr>
          <w:b/>
        </w:rPr>
        <w:t>7</w:t>
      </w:r>
      <w:r w:rsidR="000274C4" w:rsidRPr="00DB3F38">
        <w:rPr>
          <w:b/>
        </w:rPr>
        <w:t xml:space="preserve"> </w:t>
      </w:r>
      <w:r w:rsidR="00DB3F38" w:rsidRPr="00DB3F38">
        <w:rPr>
          <w:b/>
        </w:rPr>
        <w:t>5</w:t>
      </w:r>
      <w:r w:rsidR="005901C0" w:rsidRPr="00DB3F38">
        <w:rPr>
          <w:b/>
        </w:rPr>
        <w:t>00</w:t>
      </w:r>
      <w:r w:rsidR="00DC5925" w:rsidRPr="00DB3F38">
        <w:rPr>
          <w:b/>
        </w:rPr>
        <w:t xml:space="preserve"> </w:t>
      </w:r>
      <w:r w:rsidR="00EF4CD6" w:rsidRPr="00DB3F38">
        <w:rPr>
          <w:b/>
        </w:rPr>
        <w:t>грн. з ПДВ</w:t>
      </w:r>
      <w:r w:rsidR="007B3889" w:rsidRPr="00DB3F38">
        <w:rPr>
          <w:b/>
        </w:rPr>
        <w:t>.</w:t>
      </w:r>
    </w:p>
    <w:p w14:paraId="3BF3859A" w14:textId="43E36A48" w:rsidR="00057AFB" w:rsidRDefault="00500435" w:rsidP="007919B9">
      <w:pPr>
        <w:ind w:firstLine="567"/>
        <w:contextualSpacing/>
        <w:jc w:val="both"/>
      </w:pPr>
      <w:r w:rsidRPr="00DB3F38">
        <w:t xml:space="preserve"> </w:t>
      </w:r>
    </w:p>
    <w:p w14:paraId="06711331" w14:textId="77777777" w:rsidR="00DB3F38" w:rsidRPr="00DB3F38" w:rsidRDefault="00DB3F38" w:rsidP="007919B9">
      <w:pPr>
        <w:ind w:firstLine="567"/>
        <w:contextualSpacing/>
        <w:jc w:val="both"/>
      </w:pPr>
    </w:p>
    <w:p w14:paraId="08593C51" w14:textId="77777777" w:rsidR="00964E6F" w:rsidRPr="00DB3F38" w:rsidRDefault="00A0247F" w:rsidP="00AB441C">
      <w:pPr>
        <w:ind w:firstLine="426"/>
        <w:contextualSpacing/>
        <w:jc w:val="both"/>
      </w:pPr>
      <w:r w:rsidRPr="00DB3F38">
        <w:rPr>
          <w:b/>
        </w:rPr>
        <w:lastRenderedPageBreak/>
        <w:t>7. Обґрунтування очікуваної вартості предмета закупівлі:</w:t>
      </w:r>
      <w:r w:rsidRPr="00DB3F38">
        <w:t xml:space="preserve"> </w:t>
      </w:r>
    </w:p>
    <w:p w14:paraId="626B9AF5" w14:textId="1AF03AB4" w:rsidR="00006754" w:rsidRPr="00DB3F38" w:rsidRDefault="00853255" w:rsidP="00C224AA">
      <w:pPr>
        <w:ind w:firstLine="567"/>
        <w:contextualSpacing/>
        <w:jc w:val="both"/>
      </w:pPr>
      <w:r w:rsidRPr="00DB3F38">
        <w:t>Н</w:t>
      </w:r>
      <w:r w:rsidR="00006754" w:rsidRPr="00DB3F38">
        <w:t>аказом Міністерства розвитку економіки, торгівлі та сільського господарства України від 18.02.2020 №</w:t>
      </w:r>
      <w:r w:rsidRPr="00DB3F38">
        <w:t xml:space="preserve"> </w:t>
      </w:r>
      <w:r w:rsidR="00006754" w:rsidRPr="00DB3F38">
        <w:t>275 затверджена примірна методика визначення очікуваної вартості предмет</w:t>
      </w:r>
      <w:r w:rsidR="009E158C" w:rsidRPr="00DB3F38">
        <w:t>а</w:t>
      </w:r>
      <w:r w:rsidR="00006754" w:rsidRPr="00DB3F38">
        <w:t xml:space="preserve"> закупівлі, якою передбачені методи визначення очікуваної вартості предмет</w:t>
      </w:r>
      <w:r w:rsidR="009E158C" w:rsidRPr="00DB3F38">
        <w:t>а</w:t>
      </w:r>
      <w:r w:rsidR="00006754" w:rsidRPr="00DB3F38">
        <w:t xml:space="preserve"> закупівлі.</w:t>
      </w:r>
    </w:p>
    <w:p w14:paraId="5524974C" w14:textId="71CDD2B4" w:rsidR="00006754" w:rsidRPr="00DB3F38" w:rsidRDefault="00006754" w:rsidP="009E158C">
      <w:pPr>
        <w:ind w:firstLine="426"/>
        <w:contextualSpacing/>
        <w:jc w:val="both"/>
      </w:pPr>
      <w:r w:rsidRPr="00DB3F38">
        <w:t>Так, очікувана вартість предмет</w:t>
      </w:r>
      <w:r w:rsidR="009E158C" w:rsidRPr="00DB3F38">
        <w:t>а</w:t>
      </w:r>
      <w:r w:rsidRPr="00DB3F38">
        <w:t xml:space="preserve"> закупівлі визначена на підставі аналізу загальнодоступної інформації про ціну </w:t>
      </w:r>
      <w:r w:rsidR="00F41163" w:rsidRPr="00DB3F38">
        <w:t>т</w:t>
      </w:r>
      <w:r w:rsidRPr="00DB3F38">
        <w:t>о</w:t>
      </w:r>
      <w:r w:rsidR="00F41163" w:rsidRPr="00DB3F38">
        <w:t>вар</w:t>
      </w:r>
      <w:r w:rsidRPr="00DB3F38">
        <w:t>у (тобто інформація про ціни, що міст</w:t>
      </w:r>
      <w:r w:rsidR="00064CCA" w:rsidRPr="00DB3F38">
        <w:t>я</w:t>
      </w:r>
      <w:r w:rsidRPr="00DB3F38">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DB3F38">
        <w:t>закупівель</w:t>
      </w:r>
      <w:proofErr w:type="spellEnd"/>
      <w:r w:rsidRPr="00DB3F38">
        <w:t xml:space="preserve"> «</w:t>
      </w:r>
      <w:proofErr w:type="spellStart"/>
      <w:r w:rsidR="00F70454" w:rsidRPr="00DB3F38">
        <w:rPr>
          <w:lang w:val="en-US"/>
        </w:rPr>
        <w:t>Pr</w:t>
      </w:r>
      <w:proofErr w:type="spellEnd"/>
      <w:r w:rsidRPr="00DB3F38">
        <w:t>о</w:t>
      </w:r>
      <w:r w:rsidR="00F70454" w:rsidRPr="00DB3F38">
        <w:rPr>
          <w:lang w:val="en-US"/>
        </w:rPr>
        <w:t>z</w:t>
      </w:r>
      <w:r w:rsidRPr="00DB3F38">
        <w:t>о</w:t>
      </w:r>
      <w:proofErr w:type="spellStart"/>
      <w:r w:rsidR="00F70454" w:rsidRPr="00DB3F38">
        <w:rPr>
          <w:lang w:val="en-US"/>
        </w:rPr>
        <w:t>rr</w:t>
      </w:r>
      <w:proofErr w:type="spellEnd"/>
      <w:r w:rsidRPr="00DB3F38">
        <w:t>о» тощо.</w:t>
      </w:r>
      <w:r w:rsidR="00057AFB" w:rsidRPr="00DB3F38">
        <w:t xml:space="preserve"> </w:t>
      </w:r>
      <w:r w:rsidRPr="00DB3F38">
        <w:t>Відповідно до вказаної методики, очікувана вартість предмет</w:t>
      </w:r>
      <w:r w:rsidR="009E158C" w:rsidRPr="00DB3F38">
        <w:t>а</w:t>
      </w:r>
      <w:r w:rsidRPr="00DB3F38">
        <w:t xml:space="preserve"> закупівлі становить </w:t>
      </w:r>
      <w:r w:rsidR="0034128E" w:rsidRPr="00DB3F38">
        <w:t>7</w:t>
      </w:r>
      <w:r w:rsidR="00DB3F38" w:rsidRPr="00DB3F38">
        <w:t>5</w:t>
      </w:r>
      <w:r w:rsidR="005901C0" w:rsidRPr="00DB3F38">
        <w:t>00,00 грн</w:t>
      </w:r>
      <w:r w:rsidR="0067200A" w:rsidRPr="00DB3F38">
        <w:t xml:space="preserve"> з ПДВ</w:t>
      </w:r>
      <w:r w:rsidRPr="00DB3F38">
        <w:t>, що відповідає розміру бюджетного призначення.</w:t>
      </w:r>
    </w:p>
    <w:p w14:paraId="77CD26D5" w14:textId="77777777" w:rsidR="00BC7695" w:rsidRPr="00DB3F38" w:rsidRDefault="00BF492B" w:rsidP="00AB441C">
      <w:pPr>
        <w:ind w:firstLine="426"/>
        <w:contextualSpacing/>
        <w:jc w:val="both"/>
      </w:pPr>
      <w:r w:rsidRPr="00DB3F38">
        <w:rPr>
          <w:b/>
        </w:rPr>
        <w:t>8. Застосування виключення:</w:t>
      </w:r>
      <w:r w:rsidRPr="00DB3F38">
        <w:t xml:space="preserve"> не застосовується. Закупівля проводиться із застосуванням відкритих торгів з особливостями.</w:t>
      </w:r>
    </w:p>
    <w:p w14:paraId="04E9993C" w14:textId="77777777" w:rsidR="00A274EA" w:rsidRPr="00DB3F38" w:rsidRDefault="00A274EA">
      <w:pPr>
        <w:ind w:firstLine="426"/>
        <w:contextualSpacing/>
        <w:jc w:val="both"/>
      </w:pPr>
    </w:p>
    <w:sectPr w:rsidR="00A274EA" w:rsidRPr="00DB3F38" w:rsidSect="005C1C94">
      <w:headerReference w:type="default" r:id="rId9"/>
      <w:headerReference w:type="first" r:id="rId10"/>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ED558" w14:textId="77777777" w:rsidR="00DB6C3D" w:rsidRDefault="00DB6C3D">
      <w:r>
        <w:separator/>
      </w:r>
    </w:p>
  </w:endnote>
  <w:endnote w:type="continuationSeparator" w:id="0">
    <w:p w14:paraId="56246CA4" w14:textId="77777777" w:rsidR="00DB6C3D" w:rsidRDefault="00DB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0C9BA" w14:textId="77777777" w:rsidR="00DB6C3D" w:rsidRDefault="00DB6C3D">
      <w:r>
        <w:separator/>
      </w:r>
    </w:p>
  </w:footnote>
  <w:footnote w:type="continuationSeparator" w:id="0">
    <w:p w14:paraId="1A408344" w14:textId="77777777" w:rsidR="00DB6C3D" w:rsidRDefault="00DB6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9"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1"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2"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11"/>
  </w:num>
  <w:num w:numId="3">
    <w:abstractNumId w:val="32"/>
  </w:num>
  <w:num w:numId="4">
    <w:abstractNumId w:val="17"/>
  </w:num>
  <w:num w:numId="5">
    <w:abstractNumId w:val="3"/>
  </w:num>
  <w:num w:numId="6">
    <w:abstractNumId w:val="2"/>
  </w:num>
  <w:num w:numId="7">
    <w:abstractNumId w:val="40"/>
  </w:num>
  <w:num w:numId="8">
    <w:abstractNumId w:val="6"/>
  </w:num>
  <w:num w:numId="9">
    <w:abstractNumId w:val="7"/>
  </w:num>
  <w:num w:numId="10">
    <w:abstractNumId w:val="18"/>
  </w:num>
  <w:num w:numId="11">
    <w:abstractNumId w:val="30"/>
  </w:num>
  <w:num w:numId="12">
    <w:abstractNumId w:val="27"/>
  </w:num>
  <w:num w:numId="13">
    <w:abstractNumId w:val="36"/>
  </w:num>
  <w:num w:numId="14">
    <w:abstractNumId w:val="21"/>
  </w:num>
  <w:num w:numId="15">
    <w:abstractNumId w:val="5"/>
  </w:num>
  <w:num w:numId="16">
    <w:abstractNumId w:val="4"/>
  </w:num>
  <w:num w:numId="17">
    <w:abstractNumId w:val="22"/>
  </w:num>
  <w:num w:numId="18">
    <w:abstractNumId w:val="37"/>
  </w:num>
  <w:num w:numId="19">
    <w:abstractNumId w:val="19"/>
  </w:num>
  <w:num w:numId="20">
    <w:abstractNumId w:val="3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0"/>
  </w:num>
  <w:num w:numId="24">
    <w:abstractNumId w:val="33"/>
  </w:num>
  <w:num w:numId="25">
    <w:abstractNumId w:val="24"/>
  </w:num>
  <w:num w:numId="26">
    <w:abstractNumId w:val="31"/>
  </w:num>
  <w:num w:numId="27">
    <w:abstractNumId w:val="25"/>
  </w:num>
  <w:num w:numId="28">
    <w:abstractNumId w:val="43"/>
  </w:num>
  <w:num w:numId="29">
    <w:abstractNumId w:val="13"/>
  </w:num>
  <w:num w:numId="30">
    <w:abstractNumId w:val="26"/>
  </w:num>
  <w:num w:numId="31">
    <w:abstractNumId w:val="35"/>
  </w:num>
  <w:num w:numId="32">
    <w:abstractNumId w:val="39"/>
  </w:num>
  <w:num w:numId="33">
    <w:abstractNumId w:val="42"/>
  </w:num>
  <w:num w:numId="34">
    <w:abstractNumId w:val="28"/>
  </w:num>
  <w:num w:numId="35">
    <w:abstractNumId w:val="9"/>
  </w:num>
  <w:num w:numId="36">
    <w:abstractNumId w:val="10"/>
  </w:num>
  <w:num w:numId="37">
    <w:abstractNumId w:val="15"/>
  </w:num>
  <w:num w:numId="38">
    <w:abstractNumId w:val="8"/>
  </w:num>
  <w:num w:numId="39">
    <w:abstractNumId w:val="16"/>
  </w:num>
  <w:num w:numId="40">
    <w:abstractNumId w:val="41"/>
  </w:num>
  <w:num w:numId="41">
    <w:abstractNumId w:val="12"/>
  </w:num>
  <w:num w:numId="42">
    <w:abstractNumId w:val="23"/>
  </w:num>
  <w:num w:numId="43">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6C3D"/>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417-16" TargetMode="External"/><Relationship Id="rId3" Type="http://schemas.openxmlformats.org/officeDocument/2006/relationships/settings" Target="settings.xml"/><Relationship Id="rId7" Type="http://schemas.openxmlformats.org/officeDocument/2006/relationships/hyperlink" Target="https://zakon.rada.gov.ua/laws/show/374-2015-%D0%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4168</Words>
  <Characters>2376</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2025-09-05T10:47:00Z</dcterms:created>
  <dcterms:modified xsi:type="dcterms:W3CDTF">2025-09-05T10:47:00Z</dcterms:modified>
</cp:coreProperties>
</file>