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87" w:rsidRPr="00874E7F" w:rsidRDefault="00CC6AC2" w:rsidP="00B70655">
      <w:pPr>
        <w:ind w:left="6464"/>
        <w:rPr>
          <w:lang w:val="ru-RU"/>
        </w:rPr>
      </w:pPr>
      <w:r>
        <w:rPr>
          <w:sz w:val="24"/>
          <w:szCs w:val="24"/>
        </w:rPr>
        <w:t xml:space="preserve"> </w:t>
      </w:r>
    </w:p>
    <w:p w:rsidR="00B7795F" w:rsidRPr="00AC2B38" w:rsidRDefault="00B7795F" w:rsidP="00FC5B87">
      <w:pPr>
        <w:tabs>
          <w:tab w:val="left" w:pos="709"/>
          <w:tab w:val="left" w:pos="851"/>
        </w:tabs>
        <w:jc w:val="both"/>
        <w:rPr>
          <w:b/>
          <w:spacing w:val="10"/>
          <w:sz w:val="24"/>
          <w:szCs w:val="24"/>
        </w:rPr>
      </w:pPr>
      <w:r w:rsidRPr="00AC2B38">
        <w:rPr>
          <w:b/>
          <w:sz w:val="24"/>
          <w:szCs w:val="24"/>
        </w:rPr>
        <w:t xml:space="preserve">                   </w:t>
      </w:r>
      <w:r w:rsidR="00A461E8" w:rsidRPr="00AC2B38">
        <w:rPr>
          <w:b/>
          <w:sz w:val="24"/>
          <w:szCs w:val="24"/>
        </w:rPr>
        <w:t xml:space="preserve">         </w:t>
      </w:r>
      <w:r w:rsidRPr="00AC2B38">
        <w:rPr>
          <w:b/>
          <w:sz w:val="24"/>
          <w:szCs w:val="24"/>
        </w:rPr>
        <w:t xml:space="preserve"> </w:t>
      </w:r>
      <w:r w:rsidRPr="00AC2B38">
        <w:rPr>
          <w:b/>
          <w:spacing w:val="10"/>
          <w:sz w:val="24"/>
          <w:szCs w:val="24"/>
        </w:rPr>
        <w:t xml:space="preserve">Івано-Франківська митниця, </w:t>
      </w:r>
      <w:r w:rsidRPr="00AC2B38">
        <w:rPr>
          <w:b/>
          <w:spacing w:val="10"/>
          <w:sz w:val="24"/>
          <w:szCs w:val="24"/>
          <w:lang w:val="ru-RU"/>
        </w:rPr>
        <w:t xml:space="preserve">як </w:t>
      </w:r>
      <w:proofErr w:type="spellStart"/>
      <w:r w:rsidRPr="00AC2B38">
        <w:rPr>
          <w:b/>
          <w:spacing w:val="10"/>
          <w:sz w:val="24"/>
          <w:szCs w:val="24"/>
          <w:lang w:val="ru-RU"/>
        </w:rPr>
        <w:t>відокремлений</w:t>
      </w:r>
      <w:proofErr w:type="spellEnd"/>
      <w:r w:rsidRPr="00AC2B38">
        <w:rPr>
          <w:b/>
          <w:spacing w:val="10"/>
          <w:sz w:val="24"/>
          <w:szCs w:val="24"/>
          <w:lang w:val="ru-RU"/>
        </w:rPr>
        <w:t xml:space="preserve"> </w:t>
      </w:r>
      <w:proofErr w:type="spellStart"/>
      <w:r w:rsidRPr="00AC2B38">
        <w:rPr>
          <w:b/>
          <w:spacing w:val="10"/>
          <w:sz w:val="24"/>
          <w:szCs w:val="24"/>
          <w:lang w:val="ru-RU"/>
        </w:rPr>
        <w:t>підрозділ</w:t>
      </w:r>
      <w:proofErr w:type="spellEnd"/>
      <w:r w:rsidRPr="00AC2B38">
        <w:rPr>
          <w:b/>
          <w:spacing w:val="10"/>
          <w:sz w:val="24"/>
          <w:szCs w:val="24"/>
          <w:lang w:val="ru-RU"/>
        </w:rPr>
        <w:t xml:space="preserve"> </w:t>
      </w:r>
      <w:r w:rsidRPr="00AC2B38">
        <w:rPr>
          <w:b/>
          <w:spacing w:val="10"/>
          <w:sz w:val="24"/>
          <w:szCs w:val="24"/>
        </w:rPr>
        <w:t xml:space="preserve">   </w:t>
      </w:r>
    </w:p>
    <w:p w:rsidR="00B40DCF" w:rsidRPr="00AC2B38" w:rsidRDefault="00B7795F" w:rsidP="00FC5B87">
      <w:pPr>
        <w:tabs>
          <w:tab w:val="left" w:pos="709"/>
          <w:tab w:val="left" w:pos="851"/>
        </w:tabs>
        <w:jc w:val="both"/>
        <w:rPr>
          <w:b/>
          <w:spacing w:val="10"/>
          <w:sz w:val="24"/>
          <w:szCs w:val="24"/>
        </w:rPr>
      </w:pPr>
      <w:r w:rsidRPr="00AC2B38">
        <w:rPr>
          <w:b/>
          <w:spacing w:val="10"/>
          <w:sz w:val="24"/>
          <w:szCs w:val="24"/>
        </w:rPr>
        <w:t xml:space="preserve">                                </w:t>
      </w:r>
      <w:r w:rsidR="00A461E8" w:rsidRPr="00AC2B38">
        <w:rPr>
          <w:b/>
          <w:spacing w:val="10"/>
          <w:sz w:val="24"/>
          <w:szCs w:val="24"/>
        </w:rPr>
        <w:t xml:space="preserve">        </w:t>
      </w:r>
      <w:r w:rsidRPr="00AC2B38">
        <w:rPr>
          <w:b/>
          <w:spacing w:val="10"/>
          <w:sz w:val="24"/>
          <w:szCs w:val="24"/>
        </w:rPr>
        <w:t xml:space="preserve"> Державної митної служби України</w:t>
      </w:r>
    </w:p>
    <w:p w:rsidR="00E21FF3" w:rsidRPr="00AC2B38" w:rsidRDefault="00E21FF3" w:rsidP="00FC5B87">
      <w:pPr>
        <w:tabs>
          <w:tab w:val="left" w:pos="709"/>
          <w:tab w:val="left" w:pos="851"/>
        </w:tabs>
        <w:jc w:val="both"/>
        <w:rPr>
          <w:spacing w:val="10"/>
          <w:sz w:val="24"/>
          <w:szCs w:val="24"/>
        </w:rPr>
      </w:pPr>
    </w:p>
    <w:p w:rsidR="00E21FF3" w:rsidRPr="00AC2B38" w:rsidRDefault="00194ECA" w:rsidP="00194ECA">
      <w:pPr>
        <w:tabs>
          <w:tab w:val="left" w:pos="709"/>
          <w:tab w:val="left" w:pos="851"/>
        </w:tabs>
        <w:jc w:val="center"/>
        <w:rPr>
          <w:spacing w:val="10"/>
          <w:sz w:val="24"/>
          <w:szCs w:val="24"/>
        </w:rPr>
      </w:pPr>
      <w:r w:rsidRPr="00AC2B38">
        <w:rPr>
          <w:spacing w:val="10"/>
          <w:sz w:val="24"/>
          <w:szCs w:val="24"/>
        </w:rPr>
        <w:t>(відповідно до пункту</w:t>
      </w:r>
      <w:r w:rsidRPr="00AC2B38">
        <w:rPr>
          <w:spacing w:val="10"/>
          <w:sz w:val="24"/>
          <w:szCs w:val="24"/>
          <w:lang w:val="ru-RU"/>
        </w:rPr>
        <w:t xml:space="preserve"> </w:t>
      </w:r>
      <w:r w:rsidR="00DF055F" w:rsidRPr="00AC2B38">
        <w:rPr>
          <w:spacing w:val="10"/>
          <w:sz w:val="24"/>
          <w:szCs w:val="24"/>
        </w:rPr>
        <w:t>4</w:t>
      </w:r>
      <w:r w:rsidR="00DF055F" w:rsidRPr="00AC2B38">
        <w:rPr>
          <w:spacing w:val="10"/>
          <w:sz w:val="24"/>
          <w:szCs w:val="24"/>
          <w:vertAlign w:val="superscript"/>
        </w:rPr>
        <w:t>1</w:t>
      </w:r>
      <w:r w:rsidRPr="00AC2B38">
        <w:rPr>
          <w:spacing w:val="10"/>
          <w:sz w:val="24"/>
          <w:szCs w:val="24"/>
          <w:vertAlign w:val="superscript"/>
          <w:lang w:val="ru-RU"/>
        </w:rPr>
        <w:t xml:space="preserve"> </w:t>
      </w:r>
      <w:r w:rsidR="00E21FF3" w:rsidRPr="00AC2B38">
        <w:rPr>
          <w:spacing w:val="10"/>
          <w:sz w:val="24"/>
          <w:szCs w:val="24"/>
        </w:rPr>
        <w:t>постанови КМУ від 11.10.2016 №710 «Про ефективне використання державних коштів» (зі змінами))</w:t>
      </w:r>
    </w:p>
    <w:p w:rsidR="00B7795F" w:rsidRPr="00AC2B38" w:rsidRDefault="00B7795F" w:rsidP="00FC5B87">
      <w:pPr>
        <w:tabs>
          <w:tab w:val="left" w:pos="709"/>
          <w:tab w:val="left" w:pos="851"/>
        </w:tabs>
        <w:jc w:val="both"/>
        <w:rPr>
          <w:spacing w:val="10"/>
          <w:sz w:val="24"/>
          <w:szCs w:val="24"/>
        </w:rPr>
      </w:pPr>
    </w:p>
    <w:p w:rsidR="00B7795F" w:rsidRPr="00AC2B38" w:rsidRDefault="00B7795F" w:rsidP="00FC5B87">
      <w:pPr>
        <w:tabs>
          <w:tab w:val="left" w:pos="709"/>
          <w:tab w:val="left" w:pos="851"/>
        </w:tabs>
        <w:jc w:val="both"/>
        <w:rPr>
          <w:b/>
          <w:spacing w:val="10"/>
          <w:sz w:val="24"/>
          <w:szCs w:val="24"/>
        </w:rPr>
      </w:pPr>
      <w:r w:rsidRPr="00AC2B38">
        <w:rPr>
          <w:spacing w:val="10"/>
          <w:sz w:val="24"/>
          <w:szCs w:val="24"/>
        </w:rPr>
        <w:t xml:space="preserve">                                              </w:t>
      </w:r>
      <w:r w:rsidR="00E21FF3" w:rsidRPr="00AC2B38">
        <w:rPr>
          <w:spacing w:val="10"/>
          <w:sz w:val="24"/>
          <w:szCs w:val="24"/>
        </w:rPr>
        <w:t xml:space="preserve"> </w:t>
      </w:r>
      <w:r w:rsidRPr="00AC2B38">
        <w:rPr>
          <w:b/>
          <w:spacing w:val="10"/>
          <w:sz w:val="24"/>
          <w:szCs w:val="24"/>
        </w:rPr>
        <w:t xml:space="preserve">ОБГРУНТУВАННЯ  </w:t>
      </w:r>
      <w:r w:rsidR="00E21FF3" w:rsidRPr="00AC2B38">
        <w:rPr>
          <w:b/>
          <w:spacing w:val="10"/>
          <w:sz w:val="24"/>
          <w:szCs w:val="24"/>
        </w:rPr>
        <w:t>ЗАКУПІВЛІ</w:t>
      </w:r>
    </w:p>
    <w:p w:rsidR="00B7795F" w:rsidRPr="00AC2B38" w:rsidRDefault="00B7795F" w:rsidP="00FC5B87">
      <w:pPr>
        <w:tabs>
          <w:tab w:val="left" w:pos="709"/>
          <w:tab w:val="left" w:pos="851"/>
        </w:tabs>
        <w:jc w:val="both"/>
        <w:rPr>
          <w:spacing w:val="10"/>
          <w:sz w:val="24"/>
          <w:szCs w:val="24"/>
        </w:rPr>
      </w:pPr>
    </w:p>
    <w:p w:rsidR="00B7795F" w:rsidRPr="00AC2B38" w:rsidRDefault="00E21FF3" w:rsidP="00B7795F">
      <w:pPr>
        <w:tabs>
          <w:tab w:val="left" w:pos="709"/>
          <w:tab w:val="left" w:pos="851"/>
        </w:tabs>
        <w:jc w:val="both"/>
        <w:rPr>
          <w:spacing w:val="10"/>
          <w:sz w:val="24"/>
          <w:szCs w:val="24"/>
        </w:rPr>
      </w:pPr>
      <w:r w:rsidRPr="00AC2B38">
        <w:rPr>
          <w:b/>
          <w:spacing w:val="10"/>
          <w:sz w:val="24"/>
          <w:szCs w:val="24"/>
        </w:rPr>
        <w:t>1.</w:t>
      </w:r>
      <w:r w:rsidR="00B7795F" w:rsidRPr="00AC2B38">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AC2B38">
        <w:rPr>
          <w:spacing w:val="10"/>
          <w:sz w:val="24"/>
          <w:szCs w:val="24"/>
        </w:rPr>
        <w:t xml:space="preserve"> Івано-Франківська митниця, як відокремлений підрозділ   Державної митної служби України</w:t>
      </w:r>
      <w:r w:rsidR="00DC23B6" w:rsidRPr="00AC2B38">
        <w:rPr>
          <w:spacing w:val="10"/>
          <w:sz w:val="24"/>
          <w:szCs w:val="24"/>
        </w:rPr>
        <w:t xml:space="preserve">, </w:t>
      </w:r>
      <w:proofErr w:type="spellStart"/>
      <w:r w:rsidR="00DC23B6" w:rsidRPr="00AC2B38">
        <w:rPr>
          <w:spacing w:val="10"/>
          <w:sz w:val="24"/>
          <w:szCs w:val="24"/>
        </w:rPr>
        <w:t>м.Івано-Франківськ</w:t>
      </w:r>
      <w:proofErr w:type="spellEnd"/>
      <w:r w:rsidR="00DC23B6" w:rsidRPr="00AC2B38">
        <w:rPr>
          <w:spacing w:val="10"/>
          <w:sz w:val="24"/>
          <w:szCs w:val="24"/>
        </w:rPr>
        <w:t xml:space="preserve">, </w:t>
      </w:r>
      <w:proofErr w:type="spellStart"/>
      <w:r w:rsidR="00DC23B6" w:rsidRPr="00AC2B38">
        <w:rPr>
          <w:spacing w:val="10"/>
          <w:sz w:val="24"/>
          <w:szCs w:val="24"/>
        </w:rPr>
        <w:t>вул.</w:t>
      </w:r>
      <w:r w:rsidR="004624D6" w:rsidRPr="00AC2B38">
        <w:rPr>
          <w:spacing w:val="10"/>
          <w:sz w:val="24"/>
          <w:szCs w:val="24"/>
        </w:rPr>
        <w:t>Чорновола</w:t>
      </w:r>
      <w:proofErr w:type="spellEnd"/>
      <w:r w:rsidR="004624D6" w:rsidRPr="00AC2B38">
        <w:rPr>
          <w:spacing w:val="10"/>
          <w:sz w:val="24"/>
          <w:szCs w:val="24"/>
        </w:rPr>
        <w:t>, 159, код ЄДРПОУ 43971364.</w:t>
      </w:r>
    </w:p>
    <w:p w:rsidR="004624D6" w:rsidRPr="00AC2B38" w:rsidRDefault="00E21FF3" w:rsidP="005D1E8A">
      <w:pPr>
        <w:jc w:val="both"/>
        <w:rPr>
          <w:sz w:val="24"/>
          <w:szCs w:val="24"/>
        </w:rPr>
      </w:pPr>
      <w:r w:rsidRPr="00AC2B38">
        <w:rPr>
          <w:b/>
          <w:spacing w:val="10"/>
          <w:sz w:val="24"/>
          <w:szCs w:val="24"/>
        </w:rPr>
        <w:t>2.</w:t>
      </w:r>
      <w:r w:rsidR="004624D6" w:rsidRPr="00AC2B38">
        <w:rPr>
          <w:b/>
          <w:spacing w:val="10"/>
          <w:sz w:val="24"/>
          <w:szCs w:val="24"/>
        </w:rPr>
        <w:t>Назва предмета</w:t>
      </w:r>
      <w:r w:rsidR="00B4295B" w:rsidRPr="00AC2B38">
        <w:rPr>
          <w:b/>
          <w:spacing w:val="10"/>
          <w:sz w:val="24"/>
          <w:szCs w:val="24"/>
        </w:rPr>
        <w:t xml:space="preserve"> закупівлі із зазначенням коду з</w:t>
      </w:r>
      <w:r w:rsidR="004624D6" w:rsidRPr="00AC2B38">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AC2B38">
        <w:rPr>
          <w:b/>
          <w:spacing w:val="10"/>
          <w:sz w:val="24"/>
          <w:szCs w:val="24"/>
        </w:rPr>
        <w:t xml:space="preserve"> </w:t>
      </w:r>
      <w:r w:rsidR="004624D6" w:rsidRPr="00AC2B38">
        <w:rPr>
          <w:b/>
          <w:spacing w:val="10"/>
          <w:sz w:val="24"/>
          <w:szCs w:val="24"/>
        </w:rPr>
        <w:t xml:space="preserve">(за </w:t>
      </w:r>
      <w:r w:rsidR="002A3C66" w:rsidRPr="00AC2B38">
        <w:rPr>
          <w:b/>
          <w:spacing w:val="10"/>
          <w:sz w:val="24"/>
          <w:szCs w:val="24"/>
        </w:rPr>
        <w:t>наявності</w:t>
      </w:r>
      <w:r w:rsidR="002A3C66" w:rsidRPr="00AC2B38">
        <w:rPr>
          <w:spacing w:val="10"/>
          <w:sz w:val="24"/>
          <w:szCs w:val="24"/>
        </w:rPr>
        <w:t>):</w:t>
      </w:r>
      <w:r w:rsidRPr="00AC2B38">
        <w:rPr>
          <w:spacing w:val="10"/>
          <w:sz w:val="24"/>
          <w:szCs w:val="24"/>
        </w:rPr>
        <w:t xml:space="preserve"> </w:t>
      </w:r>
      <w:r w:rsidR="00BF265E" w:rsidRPr="00AC2B38">
        <w:rPr>
          <w:color w:val="000000"/>
          <w:sz w:val="24"/>
          <w:szCs w:val="24"/>
          <w:lang w:eastAsia="uk-UA"/>
        </w:rPr>
        <w:t>«</w:t>
      </w:r>
      <w:r w:rsidR="000368EA" w:rsidRPr="00AC2B38">
        <w:rPr>
          <w:color w:val="2C2931"/>
          <w:sz w:val="24"/>
          <w:szCs w:val="24"/>
          <w:shd w:val="clear" w:color="auto" w:fill="FFFFFF"/>
        </w:rPr>
        <w:t xml:space="preserve">Послуги страхування </w:t>
      </w:r>
      <w:proofErr w:type="spellStart"/>
      <w:r w:rsidR="000368EA" w:rsidRPr="00AC2B38">
        <w:rPr>
          <w:color w:val="2C2931"/>
          <w:sz w:val="24"/>
          <w:szCs w:val="24"/>
          <w:shd w:val="clear" w:color="auto" w:fill="FFFFFF"/>
        </w:rPr>
        <w:t>цивільно</w:t>
      </w:r>
      <w:proofErr w:type="spellEnd"/>
      <w:r w:rsidR="000368EA" w:rsidRPr="00AC2B38">
        <w:rPr>
          <w:color w:val="2C2931"/>
          <w:sz w:val="24"/>
          <w:szCs w:val="24"/>
          <w:shd w:val="clear" w:color="auto" w:fill="FFFFFF"/>
        </w:rPr>
        <w:t xml:space="preserve"> – правової відповідальності власників наземних транспортних засобів</w:t>
      </w:r>
      <w:r w:rsidR="00BF265E" w:rsidRPr="00AC2B38">
        <w:rPr>
          <w:color w:val="000000"/>
          <w:sz w:val="24"/>
          <w:szCs w:val="24"/>
          <w:lang w:eastAsia="uk-UA"/>
        </w:rPr>
        <w:t xml:space="preserve">» </w:t>
      </w:r>
      <w:r w:rsidR="00F83712" w:rsidRPr="00AC2B38">
        <w:rPr>
          <w:sz w:val="24"/>
          <w:szCs w:val="24"/>
        </w:rPr>
        <w:t xml:space="preserve">Код </w:t>
      </w:r>
      <w:r w:rsidR="00E2660F" w:rsidRPr="00AC2B38">
        <w:rPr>
          <w:sz w:val="24"/>
          <w:szCs w:val="24"/>
        </w:rPr>
        <w:t xml:space="preserve">за </w:t>
      </w:r>
      <w:proofErr w:type="spellStart"/>
      <w:r w:rsidR="00E2660F" w:rsidRPr="00AC2B38">
        <w:rPr>
          <w:sz w:val="24"/>
          <w:szCs w:val="24"/>
        </w:rPr>
        <w:t>ДК</w:t>
      </w:r>
      <w:proofErr w:type="spellEnd"/>
      <w:r w:rsidR="00E2660F" w:rsidRPr="00AC2B38">
        <w:rPr>
          <w:sz w:val="24"/>
          <w:szCs w:val="24"/>
        </w:rPr>
        <w:t xml:space="preserve"> 021:2015  </w:t>
      </w:r>
      <w:r w:rsidR="005D1E8A" w:rsidRPr="00AC2B38">
        <w:rPr>
          <w:color w:val="000000"/>
          <w:sz w:val="24"/>
          <w:szCs w:val="24"/>
        </w:rPr>
        <w:t>6651</w:t>
      </w:r>
      <w:r w:rsidR="00110C3C" w:rsidRPr="00AC2B38">
        <w:rPr>
          <w:bCs/>
          <w:color w:val="000000"/>
          <w:sz w:val="24"/>
          <w:szCs w:val="24"/>
          <w:lang w:eastAsia="uk-UA"/>
        </w:rPr>
        <w:t>0000-</w:t>
      </w:r>
      <w:r w:rsidR="005D1E8A" w:rsidRPr="00AC2B38">
        <w:rPr>
          <w:color w:val="000000"/>
          <w:sz w:val="24"/>
          <w:szCs w:val="24"/>
        </w:rPr>
        <w:t>8</w:t>
      </w:r>
      <w:r w:rsidR="00110C3C" w:rsidRPr="00AC2B38">
        <w:rPr>
          <w:bCs/>
          <w:color w:val="000000"/>
          <w:sz w:val="24"/>
          <w:szCs w:val="24"/>
          <w:lang w:eastAsia="uk-UA"/>
        </w:rPr>
        <w:t xml:space="preserve"> </w:t>
      </w:r>
      <w:r w:rsidR="005D1E8A" w:rsidRPr="00AC2B38">
        <w:rPr>
          <w:color w:val="000000"/>
          <w:sz w:val="24"/>
          <w:szCs w:val="24"/>
        </w:rPr>
        <w:t>Страхові послуги</w:t>
      </w:r>
      <w:r w:rsidR="00110C3C" w:rsidRPr="00AC2B38">
        <w:rPr>
          <w:color w:val="000000"/>
          <w:sz w:val="24"/>
          <w:szCs w:val="24"/>
        </w:rPr>
        <w:t>.</w:t>
      </w:r>
      <w:r w:rsidR="00110C3C" w:rsidRPr="00AC2B38">
        <w:rPr>
          <w:sz w:val="24"/>
          <w:szCs w:val="24"/>
        </w:rPr>
        <w:t xml:space="preserve"> </w:t>
      </w:r>
      <w:r w:rsidR="008D2064" w:rsidRPr="00AC2B38">
        <w:rPr>
          <w:sz w:val="24"/>
          <w:szCs w:val="24"/>
        </w:rPr>
        <w:t xml:space="preserve"> </w:t>
      </w:r>
      <w:r w:rsidR="00E51152" w:rsidRPr="00AC2B38">
        <w:rPr>
          <w:sz w:val="24"/>
          <w:szCs w:val="24"/>
        </w:rPr>
        <w:t xml:space="preserve"> </w:t>
      </w:r>
      <w:r w:rsidR="00E2660F" w:rsidRPr="00AC2B38">
        <w:rPr>
          <w:sz w:val="24"/>
          <w:szCs w:val="24"/>
        </w:rPr>
        <w:t xml:space="preserve"> </w:t>
      </w:r>
    </w:p>
    <w:p w:rsidR="006676B5" w:rsidRPr="00AC2B38" w:rsidRDefault="00110C3C" w:rsidP="005D1E8A">
      <w:pPr>
        <w:jc w:val="both"/>
        <w:rPr>
          <w:sz w:val="24"/>
          <w:szCs w:val="24"/>
        </w:rPr>
      </w:pPr>
      <w:r w:rsidRPr="00AC2B38">
        <w:rPr>
          <w:sz w:val="24"/>
          <w:szCs w:val="24"/>
        </w:rPr>
        <w:t xml:space="preserve"> </w:t>
      </w:r>
    </w:p>
    <w:p w:rsidR="00E21FF3" w:rsidRPr="00AC2B38" w:rsidRDefault="006676B5" w:rsidP="00B7795F">
      <w:pPr>
        <w:tabs>
          <w:tab w:val="left" w:pos="709"/>
          <w:tab w:val="left" w:pos="851"/>
        </w:tabs>
        <w:jc w:val="both"/>
        <w:rPr>
          <w:b/>
          <w:sz w:val="24"/>
          <w:szCs w:val="24"/>
        </w:rPr>
      </w:pPr>
      <w:r w:rsidRPr="00AC2B38">
        <w:rPr>
          <w:b/>
          <w:sz w:val="24"/>
          <w:szCs w:val="24"/>
        </w:rPr>
        <w:t xml:space="preserve">3. Вид процедури: </w:t>
      </w:r>
      <w:r w:rsidRPr="00AC2B38">
        <w:rPr>
          <w:sz w:val="24"/>
          <w:szCs w:val="24"/>
        </w:rPr>
        <w:t>відкриті торги з особливостями.</w:t>
      </w:r>
    </w:p>
    <w:p w:rsidR="006676B5" w:rsidRPr="00AC2B38" w:rsidRDefault="006676B5" w:rsidP="00B7795F">
      <w:pPr>
        <w:tabs>
          <w:tab w:val="left" w:pos="709"/>
          <w:tab w:val="left" w:pos="851"/>
        </w:tabs>
        <w:jc w:val="both"/>
        <w:rPr>
          <w:spacing w:val="10"/>
          <w:sz w:val="24"/>
          <w:szCs w:val="24"/>
        </w:rPr>
      </w:pPr>
    </w:p>
    <w:p w:rsidR="004624D6" w:rsidRPr="00AC2B38" w:rsidRDefault="006676B5" w:rsidP="00B7795F">
      <w:pPr>
        <w:tabs>
          <w:tab w:val="left" w:pos="709"/>
          <w:tab w:val="left" w:pos="851"/>
        </w:tabs>
        <w:jc w:val="both"/>
        <w:rPr>
          <w:spacing w:val="10"/>
          <w:sz w:val="24"/>
          <w:szCs w:val="24"/>
        </w:rPr>
      </w:pPr>
      <w:r w:rsidRPr="00AC2B38">
        <w:rPr>
          <w:b/>
          <w:spacing w:val="10"/>
          <w:sz w:val="24"/>
          <w:szCs w:val="24"/>
        </w:rPr>
        <w:t>4</w:t>
      </w:r>
      <w:r w:rsidR="00E21FF3" w:rsidRPr="00AC2B38">
        <w:rPr>
          <w:b/>
          <w:spacing w:val="10"/>
          <w:sz w:val="24"/>
          <w:szCs w:val="24"/>
        </w:rPr>
        <w:t>.</w:t>
      </w:r>
      <w:r w:rsidR="001C332A" w:rsidRPr="00AC2B38">
        <w:rPr>
          <w:b/>
          <w:spacing w:val="10"/>
          <w:sz w:val="24"/>
          <w:szCs w:val="24"/>
        </w:rPr>
        <w:t xml:space="preserve"> </w:t>
      </w:r>
      <w:r w:rsidR="00E21FF3" w:rsidRPr="00AC2B38">
        <w:rPr>
          <w:b/>
          <w:spacing w:val="10"/>
          <w:sz w:val="24"/>
          <w:szCs w:val="24"/>
        </w:rPr>
        <w:t>Ідентифікатор</w:t>
      </w:r>
      <w:r w:rsidR="004624D6" w:rsidRPr="00AC2B38">
        <w:rPr>
          <w:b/>
          <w:spacing w:val="10"/>
          <w:sz w:val="24"/>
          <w:szCs w:val="24"/>
        </w:rPr>
        <w:t xml:space="preserve"> закупівлі:</w:t>
      </w:r>
      <w:r w:rsidR="004624D6" w:rsidRPr="00AC2B38">
        <w:rPr>
          <w:spacing w:val="10"/>
          <w:sz w:val="24"/>
          <w:szCs w:val="24"/>
        </w:rPr>
        <w:t xml:space="preserve"> </w:t>
      </w:r>
      <w:hyperlink r:id="rId8" w:tgtFrame="_blank" w:history="1">
        <w:r w:rsidR="00F86824" w:rsidRPr="00AC2B38">
          <w:rPr>
            <w:rStyle w:val="ab"/>
            <w:color w:val="000000" w:themeColor="text1"/>
            <w:sz w:val="24"/>
            <w:szCs w:val="24"/>
            <w:u w:val="none"/>
            <w:shd w:val="clear" w:color="auto" w:fill="FFFFFF"/>
          </w:rPr>
          <w:t>UA-2025-09-23-014387-a</w:t>
        </w:r>
      </w:hyperlink>
      <w:r w:rsidR="00E12EF4" w:rsidRPr="00AC2B38">
        <w:rPr>
          <w:spacing w:val="10"/>
          <w:sz w:val="24"/>
          <w:szCs w:val="24"/>
        </w:rPr>
        <w:t>.</w:t>
      </w:r>
    </w:p>
    <w:p w:rsidR="00760542" w:rsidRPr="00AC2B38" w:rsidRDefault="00760542" w:rsidP="00B7795F">
      <w:pPr>
        <w:tabs>
          <w:tab w:val="left" w:pos="709"/>
          <w:tab w:val="left" w:pos="851"/>
        </w:tabs>
        <w:jc w:val="both"/>
        <w:rPr>
          <w:spacing w:val="10"/>
          <w:sz w:val="24"/>
          <w:szCs w:val="24"/>
        </w:rPr>
      </w:pPr>
    </w:p>
    <w:p w:rsidR="00760542" w:rsidRPr="00AC2B38" w:rsidRDefault="006676B5" w:rsidP="00BF265E">
      <w:pPr>
        <w:tabs>
          <w:tab w:val="left" w:pos="709"/>
          <w:tab w:val="left" w:pos="851"/>
        </w:tabs>
        <w:jc w:val="both"/>
        <w:rPr>
          <w:spacing w:val="10"/>
          <w:sz w:val="24"/>
          <w:szCs w:val="24"/>
        </w:rPr>
      </w:pPr>
      <w:r w:rsidRPr="00AC2B38">
        <w:rPr>
          <w:b/>
          <w:spacing w:val="10"/>
          <w:sz w:val="24"/>
          <w:szCs w:val="24"/>
        </w:rPr>
        <w:t>5</w:t>
      </w:r>
      <w:r w:rsidR="00E21FF3" w:rsidRPr="00AC2B38">
        <w:rPr>
          <w:b/>
          <w:spacing w:val="10"/>
          <w:sz w:val="24"/>
          <w:szCs w:val="24"/>
        </w:rPr>
        <w:t>.</w:t>
      </w:r>
      <w:r w:rsidR="005E57AF" w:rsidRPr="00AC2B38">
        <w:rPr>
          <w:b/>
          <w:spacing w:val="10"/>
          <w:sz w:val="24"/>
          <w:szCs w:val="24"/>
        </w:rPr>
        <w:t xml:space="preserve"> </w:t>
      </w:r>
      <w:r w:rsidR="00617D89" w:rsidRPr="00AC2B38">
        <w:rPr>
          <w:b/>
          <w:spacing w:val="10"/>
          <w:sz w:val="24"/>
          <w:szCs w:val="24"/>
        </w:rPr>
        <w:t>Обґрунтування</w:t>
      </w:r>
      <w:r w:rsidR="00B677B8" w:rsidRPr="00AC2B38">
        <w:rPr>
          <w:b/>
          <w:spacing w:val="10"/>
          <w:sz w:val="24"/>
          <w:szCs w:val="24"/>
        </w:rPr>
        <w:t xml:space="preserve"> очікуваної вартості предмета закупівлі.</w:t>
      </w:r>
      <w:r w:rsidR="00617D89" w:rsidRPr="00AC2B38">
        <w:rPr>
          <w:b/>
          <w:spacing w:val="10"/>
          <w:sz w:val="24"/>
          <w:szCs w:val="24"/>
        </w:rPr>
        <w:t xml:space="preserve"> </w:t>
      </w:r>
      <w:proofErr w:type="spellStart"/>
      <w:r w:rsidR="004624D6" w:rsidRPr="00AC2B38">
        <w:rPr>
          <w:spacing w:val="10"/>
          <w:sz w:val="24"/>
          <w:szCs w:val="24"/>
          <w:lang w:val="ru-RU"/>
        </w:rPr>
        <w:t>Очікувана</w:t>
      </w:r>
      <w:proofErr w:type="spellEnd"/>
      <w:r w:rsidR="004624D6" w:rsidRPr="00AC2B38">
        <w:rPr>
          <w:spacing w:val="10"/>
          <w:sz w:val="24"/>
          <w:szCs w:val="24"/>
          <w:lang w:val="ru-RU"/>
        </w:rPr>
        <w:t xml:space="preserve"> </w:t>
      </w:r>
      <w:proofErr w:type="spellStart"/>
      <w:r w:rsidR="004624D6" w:rsidRPr="00AC2B38">
        <w:rPr>
          <w:spacing w:val="10"/>
          <w:sz w:val="24"/>
          <w:szCs w:val="24"/>
          <w:lang w:val="ru-RU"/>
        </w:rPr>
        <w:t>варті</w:t>
      </w:r>
      <w:r w:rsidR="00194ECA" w:rsidRPr="00AC2B38">
        <w:rPr>
          <w:spacing w:val="10"/>
          <w:sz w:val="24"/>
          <w:szCs w:val="24"/>
        </w:rPr>
        <w:t>сть</w:t>
      </w:r>
      <w:proofErr w:type="spellEnd"/>
      <w:r w:rsidR="00194ECA" w:rsidRPr="00AC2B38">
        <w:rPr>
          <w:spacing w:val="10"/>
          <w:sz w:val="24"/>
          <w:szCs w:val="24"/>
        </w:rPr>
        <w:t xml:space="preserve"> предмета закупі</w:t>
      </w:r>
      <w:proofErr w:type="gramStart"/>
      <w:r w:rsidR="00194ECA" w:rsidRPr="00AC2B38">
        <w:rPr>
          <w:spacing w:val="10"/>
          <w:sz w:val="24"/>
          <w:szCs w:val="24"/>
        </w:rPr>
        <w:t>вл</w:t>
      </w:r>
      <w:proofErr w:type="gramEnd"/>
      <w:r w:rsidR="00194ECA" w:rsidRPr="00AC2B38">
        <w:rPr>
          <w:spacing w:val="10"/>
          <w:sz w:val="24"/>
          <w:szCs w:val="24"/>
        </w:rPr>
        <w:t>і</w:t>
      </w:r>
      <w:r w:rsidR="002F3D23" w:rsidRPr="00AC2B38">
        <w:rPr>
          <w:spacing w:val="10"/>
          <w:sz w:val="24"/>
          <w:szCs w:val="24"/>
        </w:rPr>
        <w:t xml:space="preserve"> </w:t>
      </w:r>
      <w:r w:rsidR="00874E7F" w:rsidRPr="00AC2B38">
        <w:rPr>
          <w:spacing w:val="10"/>
          <w:sz w:val="24"/>
          <w:szCs w:val="24"/>
        </w:rPr>
        <w:t>7</w:t>
      </w:r>
      <w:r w:rsidR="00874E7F" w:rsidRPr="00AC2B38">
        <w:rPr>
          <w:spacing w:val="10"/>
          <w:sz w:val="24"/>
          <w:szCs w:val="24"/>
          <w:lang w:val="ru-RU"/>
        </w:rPr>
        <w:t> 5</w:t>
      </w:r>
      <w:r w:rsidR="001A6244" w:rsidRPr="00AC2B38">
        <w:rPr>
          <w:spacing w:val="10"/>
          <w:sz w:val="24"/>
          <w:szCs w:val="24"/>
        </w:rPr>
        <w:t>00</w:t>
      </w:r>
      <w:r w:rsidR="002F3D23" w:rsidRPr="00AC2B38">
        <w:rPr>
          <w:spacing w:val="10"/>
          <w:sz w:val="24"/>
          <w:szCs w:val="24"/>
          <w:lang w:val="ru-RU"/>
        </w:rPr>
        <w:t xml:space="preserve">, </w:t>
      </w:r>
      <w:r w:rsidR="00760542" w:rsidRPr="00AC2B38">
        <w:rPr>
          <w:spacing w:val="10"/>
          <w:sz w:val="24"/>
          <w:szCs w:val="24"/>
        </w:rPr>
        <w:t>00</w:t>
      </w:r>
      <w:r w:rsidR="00E12EF4" w:rsidRPr="00AC2B38">
        <w:rPr>
          <w:spacing w:val="10"/>
          <w:sz w:val="24"/>
          <w:szCs w:val="24"/>
        </w:rPr>
        <w:t xml:space="preserve"> </w:t>
      </w:r>
      <w:r w:rsidR="00760542" w:rsidRPr="00AC2B38">
        <w:rPr>
          <w:spacing w:val="10"/>
          <w:sz w:val="24"/>
          <w:szCs w:val="24"/>
        </w:rPr>
        <w:t>гривень</w:t>
      </w:r>
      <w:r w:rsidR="00E21FF3" w:rsidRPr="00AC2B38">
        <w:rPr>
          <w:spacing w:val="10"/>
          <w:sz w:val="24"/>
          <w:szCs w:val="24"/>
        </w:rPr>
        <w:t xml:space="preserve"> з</w:t>
      </w:r>
      <w:r w:rsidR="008D2064" w:rsidRPr="00AC2B38">
        <w:rPr>
          <w:spacing w:val="10"/>
          <w:sz w:val="24"/>
          <w:szCs w:val="24"/>
        </w:rPr>
        <w:t xml:space="preserve"> ПДВ</w:t>
      </w:r>
      <w:r w:rsidR="00A90838" w:rsidRPr="00AC2B38">
        <w:rPr>
          <w:spacing w:val="10"/>
          <w:sz w:val="24"/>
          <w:szCs w:val="24"/>
          <w:lang w:val="ru-RU"/>
        </w:rPr>
        <w:t>,</w:t>
      </w:r>
      <w:r w:rsidR="00A90838" w:rsidRPr="00AC2B38">
        <w:rPr>
          <w:spacing w:val="10"/>
          <w:sz w:val="24"/>
          <w:szCs w:val="24"/>
        </w:rPr>
        <w:t xml:space="preserve"> згідно з кошторисом Івано-Франківської митниці.</w:t>
      </w:r>
      <w:r w:rsidR="00760542" w:rsidRPr="00AC2B38">
        <w:rPr>
          <w:spacing w:val="10"/>
          <w:sz w:val="24"/>
          <w:szCs w:val="24"/>
        </w:rPr>
        <w:t xml:space="preserve"> Визначення очікуваної вартості предмета закупівлі обрахована </w:t>
      </w:r>
      <w:r w:rsidR="00D232BF" w:rsidRPr="00AC2B38">
        <w:rPr>
          <w:spacing w:val="10"/>
          <w:sz w:val="24"/>
          <w:szCs w:val="24"/>
        </w:rPr>
        <w:t>відповідно</w:t>
      </w:r>
      <w:r w:rsidR="00692C4B" w:rsidRPr="00AC2B38">
        <w:rPr>
          <w:spacing w:val="10"/>
          <w:sz w:val="24"/>
          <w:szCs w:val="24"/>
        </w:rPr>
        <w:t xml:space="preserve"> до</w:t>
      </w:r>
      <w:r w:rsidR="00D232BF" w:rsidRPr="00AC2B38">
        <w:rPr>
          <w:spacing w:val="10"/>
          <w:sz w:val="24"/>
          <w:szCs w:val="24"/>
        </w:rPr>
        <w:t xml:space="preserve"> </w:t>
      </w:r>
      <w:proofErr w:type="spellStart"/>
      <w:r w:rsidR="00D232BF" w:rsidRPr="00AC2B38">
        <w:rPr>
          <w:spacing w:val="10"/>
          <w:sz w:val="24"/>
          <w:szCs w:val="24"/>
        </w:rPr>
        <w:t>середньоринкового</w:t>
      </w:r>
      <w:proofErr w:type="spellEnd"/>
      <w:r w:rsidR="00D232BF" w:rsidRPr="00AC2B38">
        <w:rPr>
          <w:spacing w:val="10"/>
          <w:sz w:val="24"/>
          <w:szCs w:val="24"/>
        </w:rPr>
        <w:t xml:space="preserve"> рівня цін</w:t>
      </w:r>
      <w:r w:rsidR="00D232BF" w:rsidRPr="00AC2B38">
        <w:rPr>
          <w:spacing w:val="10"/>
          <w:sz w:val="24"/>
          <w:szCs w:val="24"/>
          <w:lang w:val="ru-RU"/>
        </w:rPr>
        <w:t>.</w:t>
      </w:r>
    </w:p>
    <w:p w:rsidR="00EE3B2C" w:rsidRPr="00AC2B38" w:rsidRDefault="00EE3B2C" w:rsidP="00B7795F">
      <w:pPr>
        <w:tabs>
          <w:tab w:val="left" w:pos="709"/>
          <w:tab w:val="left" w:pos="851"/>
        </w:tabs>
        <w:jc w:val="both"/>
        <w:rPr>
          <w:spacing w:val="10"/>
          <w:sz w:val="24"/>
          <w:szCs w:val="24"/>
          <w:lang w:val="ru-RU"/>
        </w:rPr>
      </w:pPr>
    </w:p>
    <w:p w:rsidR="004624D6" w:rsidRPr="00AC2B38" w:rsidRDefault="00214108" w:rsidP="00B7795F">
      <w:pPr>
        <w:tabs>
          <w:tab w:val="left" w:pos="709"/>
          <w:tab w:val="left" w:pos="851"/>
        </w:tabs>
        <w:jc w:val="both"/>
        <w:rPr>
          <w:spacing w:val="10"/>
          <w:sz w:val="24"/>
          <w:szCs w:val="24"/>
        </w:rPr>
      </w:pPr>
      <w:r w:rsidRPr="00AC2B38">
        <w:rPr>
          <w:b/>
          <w:spacing w:val="10"/>
          <w:sz w:val="24"/>
          <w:szCs w:val="24"/>
          <w:lang w:val="ru-RU"/>
        </w:rPr>
        <w:t>6</w:t>
      </w:r>
      <w:r w:rsidR="00EE3B2C" w:rsidRPr="00AC2B38">
        <w:rPr>
          <w:b/>
          <w:spacing w:val="10"/>
          <w:sz w:val="24"/>
          <w:szCs w:val="24"/>
          <w:lang w:val="ru-RU"/>
        </w:rPr>
        <w:t>.</w:t>
      </w:r>
      <w:r w:rsidR="00A90838" w:rsidRPr="00AC2B38">
        <w:rPr>
          <w:b/>
          <w:spacing w:val="10"/>
          <w:sz w:val="24"/>
          <w:szCs w:val="24"/>
          <w:lang w:val="ru-RU"/>
        </w:rPr>
        <w:t xml:space="preserve"> </w:t>
      </w:r>
      <w:proofErr w:type="spellStart"/>
      <w:r w:rsidR="003959F0" w:rsidRPr="00AC2B38">
        <w:rPr>
          <w:b/>
          <w:spacing w:val="10"/>
          <w:sz w:val="24"/>
          <w:szCs w:val="24"/>
          <w:lang w:val="ru-RU"/>
        </w:rPr>
        <w:t>Розм</w:t>
      </w:r>
      <w:r w:rsidR="002A3C66" w:rsidRPr="00AC2B38">
        <w:rPr>
          <w:b/>
          <w:spacing w:val="10"/>
          <w:sz w:val="24"/>
          <w:szCs w:val="24"/>
          <w:lang w:val="ru-RU"/>
        </w:rPr>
        <w:t>і</w:t>
      </w:r>
      <w:proofErr w:type="gramStart"/>
      <w:r w:rsidR="002A3C66" w:rsidRPr="00AC2B38">
        <w:rPr>
          <w:b/>
          <w:spacing w:val="10"/>
          <w:sz w:val="24"/>
          <w:szCs w:val="24"/>
          <w:lang w:val="ru-RU"/>
        </w:rPr>
        <w:t>р</w:t>
      </w:r>
      <w:proofErr w:type="spellEnd"/>
      <w:proofErr w:type="gramEnd"/>
      <w:r w:rsidR="002A3C66" w:rsidRPr="00AC2B38">
        <w:rPr>
          <w:b/>
          <w:spacing w:val="10"/>
          <w:sz w:val="24"/>
          <w:szCs w:val="24"/>
          <w:lang w:val="ru-RU"/>
        </w:rPr>
        <w:t xml:space="preserve"> бюджетного </w:t>
      </w:r>
      <w:proofErr w:type="spellStart"/>
      <w:r w:rsidR="002A3C66" w:rsidRPr="00AC2B38">
        <w:rPr>
          <w:b/>
          <w:spacing w:val="10"/>
          <w:sz w:val="24"/>
          <w:szCs w:val="24"/>
          <w:lang w:val="ru-RU"/>
        </w:rPr>
        <w:t>призначення</w:t>
      </w:r>
      <w:proofErr w:type="spellEnd"/>
      <w:r w:rsidR="008D2064" w:rsidRPr="00AC2B38">
        <w:rPr>
          <w:spacing w:val="10"/>
          <w:sz w:val="24"/>
          <w:szCs w:val="24"/>
          <w:lang w:val="ru-RU"/>
        </w:rPr>
        <w:t>:</w:t>
      </w:r>
      <w:r w:rsidR="00A90838" w:rsidRPr="00AC2B38">
        <w:rPr>
          <w:sz w:val="24"/>
          <w:szCs w:val="24"/>
        </w:rPr>
        <w:t xml:space="preserve"> Розмір бюджетного призначення визначено відповідно до Закону України «Про </w:t>
      </w:r>
      <w:r w:rsidR="00467436" w:rsidRPr="00AC2B38">
        <w:rPr>
          <w:sz w:val="24"/>
          <w:szCs w:val="24"/>
        </w:rPr>
        <w:t>Державний бюджет України на 202</w:t>
      </w:r>
      <w:r w:rsidR="002F3D23" w:rsidRPr="00AC2B38">
        <w:rPr>
          <w:sz w:val="24"/>
          <w:szCs w:val="24"/>
          <w:lang w:val="ru-RU"/>
        </w:rPr>
        <w:t>5</w:t>
      </w:r>
      <w:r w:rsidR="00A90838" w:rsidRPr="00AC2B38">
        <w:rPr>
          <w:sz w:val="24"/>
          <w:szCs w:val="24"/>
        </w:rPr>
        <w:t xml:space="preserve"> рік», кошторису Ів</w:t>
      </w:r>
      <w:r w:rsidR="002F3D23" w:rsidRPr="00AC2B38">
        <w:rPr>
          <w:sz w:val="24"/>
          <w:szCs w:val="24"/>
        </w:rPr>
        <w:t>ано-Франківської митниці на 202</w:t>
      </w:r>
      <w:r w:rsidR="002F3D23" w:rsidRPr="00AC2B38">
        <w:rPr>
          <w:sz w:val="24"/>
          <w:szCs w:val="24"/>
          <w:lang w:val="ru-RU"/>
        </w:rPr>
        <w:t>5</w:t>
      </w:r>
      <w:r w:rsidR="00A90838" w:rsidRPr="00AC2B38">
        <w:rPr>
          <w:sz w:val="24"/>
          <w:szCs w:val="24"/>
        </w:rPr>
        <w:t xml:space="preserve"> рік (загальний фонд) за КПКВ 3506010 «Керівництво та управління у сфері мит</w:t>
      </w:r>
      <w:proofErr w:type="spellStart"/>
      <w:r w:rsidR="00194ECA" w:rsidRPr="00AC2B38">
        <w:rPr>
          <w:sz w:val="24"/>
          <w:szCs w:val="24"/>
          <w:lang w:val="ru-RU"/>
        </w:rPr>
        <w:t>н</w:t>
      </w:r>
      <w:r w:rsidR="00A90838" w:rsidRPr="00AC2B38">
        <w:rPr>
          <w:sz w:val="24"/>
          <w:szCs w:val="24"/>
        </w:rPr>
        <w:t>ої</w:t>
      </w:r>
      <w:proofErr w:type="spellEnd"/>
      <w:r w:rsidR="00A90838" w:rsidRPr="00AC2B38">
        <w:rPr>
          <w:sz w:val="24"/>
          <w:szCs w:val="24"/>
        </w:rPr>
        <w:t xml:space="preserve"> політики». </w:t>
      </w:r>
      <w:r w:rsidR="00194ECA" w:rsidRPr="00AC2B38">
        <w:rPr>
          <w:sz w:val="24"/>
          <w:szCs w:val="24"/>
        </w:rPr>
        <w:t xml:space="preserve"> </w:t>
      </w:r>
    </w:p>
    <w:p w:rsidR="00B677B8" w:rsidRPr="00AC2B38" w:rsidRDefault="00B677B8" w:rsidP="00B7795F">
      <w:pPr>
        <w:tabs>
          <w:tab w:val="left" w:pos="709"/>
          <w:tab w:val="left" w:pos="851"/>
        </w:tabs>
        <w:jc w:val="both"/>
        <w:rPr>
          <w:spacing w:val="10"/>
          <w:sz w:val="24"/>
          <w:szCs w:val="24"/>
        </w:rPr>
      </w:pPr>
      <w:r w:rsidRPr="00AC2B38">
        <w:rPr>
          <w:spacing w:val="10"/>
          <w:sz w:val="24"/>
          <w:szCs w:val="24"/>
        </w:rPr>
        <w:t xml:space="preserve"> </w:t>
      </w:r>
    </w:p>
    <w:p w:rsidR="00B677B8" w:rsidRPr="00AC2B38" w:rsidRDefault="00214108" w:rsidP="00B7795F">
      <w:pPr>
        <w:tabs>
          <w:tab w:val="left" w:pos="709"/>
          <w:tab w:val="left" w:pos="851"/>
        </w:tabs>
        <w:jc w:val="both"/>
        <w:rPr>
          <w:spacing w:val="10"/>
          <w:sz w:val="24"/>
          <w:szCs w:val="24"/>
        </w:rPr>
      </w:pPr>
      <w:r w:rsidRPr="00AC2B38">
        <w:rPr>
          <w:b/>
          <w:spacing w:val="10"/>
          <w:sz w:val="24"/>
          <w:szCs w:val="24"/>
        </w:rPr>
        <w:t>7</w:t>
      </w:r>
      <w:r w:rsidR="0098657C" w:rsidRPr="00AC2B38">
        <w:rPr>
          <w:b/>
          <w:spacing w:val="10"/>
          <w:sz w:val="24"/>
          <w:szCs w:val="24"/>
        </w:rPr>
        <w:t>.</w:t>
      </w:r>
      <w:r w:rsidR="00B677B8" w:rsidRPr="00AC2B38">
        <w:rPr>
          <w:b/>
          <w:spacing w:val="10"/>
          <w:sz w:val="24"/>
          <w:szCs w:val="24"/>
        </w:rPr>
        <w:t>Обґрунтування технічних та якісних характеристик предмета закупівлі.</w:t>
      </w:r>
      <w:r w:rsidR="00B677B8" w:rsidRPr="00AC2B38">
        <w:rPr>
          <w:spacing w:val="10"/>
          <w:sz w:val="24"/>
          <w:szCs w:val="24"/>
        </w:rPr>
        <w:t xml:space="preserve"> Якісні та технічні характеристики визначені з у</w:t>
      </w:r>
      <w:r w:rsidR="00EF715A" w:rsidRPr="00AC2B38">
        <w:rPr>
          <w:spacing w:val="10"/>
          <w:sz w:val="24"/>
          <w:szCs w:val="24"/>
        </w:rPr>
        <w:t>рахуванням реальних потреб установи</w:t>
      </w:r>
      <w:r w:rsidR="000F60BD" w:rsidRPr="00AC2B38">
        <w:rPr>
          <w:spacing w:val="10"/>
          <w:sz w:val="24"/>
          <w:szCs w:val="24"/>
        </w:rPr>
        <w:t xml:space="preserve"> та оптимального співвідношення ціни та якості.</w:t>
      </w:r>
    </w:p>
    <w:p w:rsidR="00644BC8" w:rsidRPr="00AC2B38" w:rsidRDefault="000F60BD" w:rsidP="008208D9">
      <w:pPr>
        <w:tabs>
          <w:tab w:val="left" w:pos="709"/>
          <w:tab w:val="left" w:pos="851"/>
        </w:tabs>
        <w:jc w:val="both"/>
        <w:rPr>
          <w:b/>
          <w:spacing w:val="10"/>
          <w:sz w:val="24"/>
          <w:szCs w:val="24"/>
        </w:rPr>
      </w:pPr>
      <w:r w:rsidRPr="00AC2B38">
        <w:rPr>
          <w:b/>
          <w:spacing w:val="10"/>
          <w:sz w:val="24"/>
          <w:szCs w:val="24"/>
        </w:rPr>
        <w:t xml:space="preserve">               </w:t>
      </w:r>
      <w:r w:rsidR="00264D22" w:rsidRPr="00AC2B38">
        <w:rPr>
          <w:b/>
          <w:spacing w:val="10"/>
          <w:sz w:val="24"/>
          <w:szCs w:val="24"/>
        </w:rPr>
        <w:t xml:space="preserve">                              </w:t>
      </w:r>
    </w:p>
    <w:p w:rsidR="00644BC8" w:rsidRPr="00AC2B38" w:rsidRDefault="009E1867" w:rsidP="00644BC8">
      <w:pPr>
        <w:ind w:firstLine="709"/>
        <w:contextualSpacing/>
        <w:mirrorIndents/>
        <w:jc w:val="center"/>
        <w:rPr>
          <w:b/>
          <w:iCs/>
          <w:sz w:val="24"/>
          <w:szCs w:val="24"/>
        </w:rPr>
      </w:pPr>
      <w:r w:rsidRPr="00AC2B38">
        <w:rPr>
          <w:b/>
          <w:spacing w:val="10"/>
          <w:sz w:val="24"/>
          <w:szCs w:val="24"/>
        </w:rPr>
        <w:t xml:space="preserve"> </w:t>
      </w:r>
      <w:r w:rsidR="00644BC8" w:rsidRPr="00AC2B38">
        <w:rPr>
          <w:b/>
          <w:sz w:val="24"/>
          <w:szCs w:val="24"/>
        </w:rPr>
        <w:t xml:space="preserve">ІНФОРМАЦІЯ ПРО ТЕХНІЧНІ, ЯКІСНІ ТА КІЛЬКІСНІ ХАРАКТЕРИСТИКИ </w:t>
      </w:r>
      <w:r w:rsidR="00644BC8" w:rsidRPr="00AC2B38">
        <w:rPr>
          <w:b/>
          <w:iCs/>
          <w:sz w:val="24"/>
          <w:szCs w:val="24"/>
        </w:rPr>
        <w:t>ПРЕДМЕТА ЗАКУПІВЛІ</w:t>
      </w:r>
    </w:p>
    <w:p w:rsidR="00644BC8" w:rsidRPr="00AC2B38" w:rsidRDefault="00644BC8" w:rsidP="00644BC8">
      <w:pPr>
        <w:rPr>
          <w:sz w:val="24"/>
          <w:szCs w:val="24"/>
        </w:rPr>
      </w:pPr>
    </w:p>
    <w:p w:rsidR="00644BC8" w:rsidRPr="00AC2B38" w:rsidRDefault="00644BC8" w:rsidP="00644BC8">
      <w:pPr>
        <w:pStyle w:val="4"/>
        <w:numPr>
          <w:ilvl w:val="0"/>
          <w:numId w:val="16"/>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AC2B38">
        <w:rPr>
          <w:rFonts w:ascii="Times New Roman" w:hAnsi="Times New Roman"/>
          <w:b/>
          <w:bCs/>
          <w:sz w:val="24"/>
          <w:szCs w:val="24"/>
        </w:rPr>
        <w:t>Інформація про предмет закупівлі</w:t>
      </w:r>
    </w:p>
    <w:p w:rsidR="00644BC8" w:rsidRPr="00AC2B38" w:rsidRDefault="00644BC8" w:rsidP="00644BC8">
      <w:pPr>
        <w:pStyle w:val="4"/>
        <w:tabs>
          <w:tab w:val="left" w:pos="1134"/>
          <w:tab w:val="left" w:pos="3119"/>
        </w:tabs>
        <w:spacing w:after="0" w:line="240" w:lineRule="auto"/>
        <w:ind w:left="0"/>
        <w:jc w:val="center"/>
        <w:rPr>
          <w:rFonts w:ascii="Times New Roman" w:hAnsi="Times New Roman"/>
          <w:sz w:val="24"/>
          <w:szCs w:val="24"/>
        </w:rPr>
      </w:pPr>
    </w:p>
    <w:tbl>
      <w:tblPr>
        <w:tblW w:w="9781" w:type="dxa"/>
        <w:tblInd w:w="55" w:type="dxa"/>
        <w:tblLayout w:type="fixed"/>
        <w:tblCellMar>
          <w:top w:w="55" w:type="dxa"/>
          <w:left w:w="55" w:type="dxa"/>
          <w:bottom w:w="55" w:type="dxa"/>
          <w:right w:w="55" w:type="dxa"/>
        </w:tblCellMar>
        <w:tblLook w:val="0000"/>
      </w:tblPr>
      <w:tblGrid>
        <w:gridCol w:w="1985"/>
        <w:gridCol w:w="7796"/>
      </w:tblGrid>
      <w:tr w:rsidR="00644BC8" w:rsidRPr="00AC2B38" w:rsidTr="00FB7516">
        <w:tc>
          <w:tcPr>
            <w:tcW w:w="1985" w:type="dxa"/>
            <w:shd w:val="clear" w:color="auto" w:fill="auto"/>
          </w:tcPr>
          <w:p w:rsidR="00644BC8" w:rsidRPr="00AC2B38" w:rsidRDefault="00644BC8" w:rsidP="00FB7516">
            <w:pPr>
              <w:pStyle w:val="a9"/>
              <w:tabs>
                <w:tab w:val="left" w:pos="3119"/>
              </w:tabs>
              <w:snapToGrid w:val="0"/>
              <w:ind w:right="5"/>
            </w:pPr>
            <w:r w:rsidRPr="00AC2B38">
              <w:t>Найменування предмета закупівлі</w:t>
            </w:r>
          </w:p>
        </w:tc>
        <w:tc>
          <w:tcPr>
            <w:tcW w:w="7796" w:type="dxa"/>
            <w:shd w:val="clear" w:color="auto" w:fill="auto"/>
          </w:tcPr>
          <w:p w:rsidR="00644BC8" w:rsidRPr="00AC2B38" w:rsidRDefault="00644BC8" w:rsidP="00FB7516">
            <w:pPr>
              <w:tabs>
                <w:tab w:val="left" w:pos="388"/>
                <w:tab w:val="left" w:pos="616"/>
                <w:tab w:val="left" w:pos="3122"/>
                <w:tab w:val="left" w:pos="3600"/>
              </w:tabs>
              <w:snapToGrid w:val="0"/>
              <w:ind w:right="5"/>
              <w:jc w:val="both"/>
              <w:rPr>
                <w:sz w:val="24"/>
                <w:szCs w:val="24"/>
              </w:rPr>
            </w:pPr>
            <w:r w:rsidRPr="00AC2B38">
              <w:rPr>
                <w:sz w:val="24"/>
                <w:szCs w:val="24"/>
              </w:rPr>
              <w:t xml:space="preserve">Послуги страхування цивільно-правової відповідальності власників наземних транспортних засобів за кодом </w:t>
            </w:r>
            <w:proofErr w:type="spellStart"/>
            <w:r w:rsidRPr="00AC2B38">
              <w:rPr>
                <w:sz w:val="24"/>
                <w:szCs w:val="24"/>
              </w:rPr>
              <w:t>ДК</w:t>
            </w:r>
            <w:proofErr w:type="spellEnd"/>
            <w:r w:rsidRPr="00AC2B38">
              <w:rPr>
                <w:sz w:val="24"/>
                <w:szCs w:val="24"/>
              </w:rPr>
              <w:t xml:space="preserve"> 021:2015 – 66510000-8 «Страхові послуги»</w:t>
            </w:r>
          </w:p>
        </w:tc>
      </w:tr>
      <w:tr w:rsidR="00644BC8" w:rsidRPr="00AC2B38" w:rsidTr="00FB7516">
        <w:tc>
          <w:tcPr>
            <w:tcW w:w="1985" w:type="dxa"/>
            <w:shd w:val="clear" w:color="auto" w:fill="auto"/>
          </w:tcPr>
          <w:p w:rsidR="00644BC8" w:rsidRPr="00AC2B38" w:rsidRDefault="00644BC8" w:rsidP="00FB7516">
            <w:pPr>
              <w:pStyle w:val="a9"/>
              <w:tabs>
                <w:tab w:val="left" w:pos="3119"/>
              </w:tabs>
              <w:snapToGrid w:val="0"/>
              <w:ind w:right="5"/>
            </w:pPr>
            <w:r w:rsidRPr="00AC2B38">
              <w:t>Вид предмета закупівлі</w:t>
            </w:r>
          </w:p>
        </w:tc>
        <w:tc>
          <w:tcPr>
            <w:tcW w:w="7796" w:type="dxa"/>
            <w:shd w:val="clear" w:color="auto" w:fill="auto"/>
            <w:vAlign w:val="center"/>
          </w:tcPr>
          <w:p w:rsidR="00644BC8" w:rsidRPr="00AC2B38" w:rsidRDefault="00644BC8" w:rsidP="00FB7516">
            <w:pPr>
              <w:pStyle w:val="a9"/>
              <w:tabs>
                <w:tab w:val="left" w:pos="388"/>
                <w:tab w:val="left" w:pos="616"/>
                <w:tab w:val="left" w:pos="3119"/>
                <w:tab w:val="left" w:pos="3600"/>
              </w:tabs>
              <w:snapToGrid w:val="0"/>
              <w:ind w:right="5"/>
            </w:pPr>
            <w:r w:rsidRPr="00AC2B38">
              <w:t>Послуга</w:t>
            </w:r>
          </w:p>
        </w:tc>
      </w:tr>
      <w:tr w:rsidR="00644BC8" w:rsidRPr="00AC2B38" w:rsidTr="00FB7516">
        <w:tc>
          <w:tcPr>
            <w:tcW w:w="1985" w:type="dxa"/>
            <w:shd w:val="clear" w:color="auto" w:fill="auto"/>
          </w:tcPr>
          <w:p w:rsidR="00644BC8" w:rsidRPr="00AC2B38" w:rsidRDefault="00644BC8" w:rsidP="00FB7516">
            <w:pPr>
              <w:pStyle w:val="a9"/>
              <w:tabs>
                <w:tab w:val="left" w:pos="3119"/>
              </w:tabs>
              <w:snapToGrid w:val="0"/>
              <w:ind w:right="5"/>
            </w:pPr>
            <w:r w:rsidRPr="00AC2B38">
              <w:t>Строк надання послуг</w:t>
            </w:r>
          </w:p>
        </w:tc>
        <w:tc>
          <w:tcPr>
            <w:tcW w:w="7796" w:type="dxa"/>
            <w:shd w:val="clear" w:color="auto" w:fill="auto"/>
            <w:vAlign w:val="center"/>
          </w:tcPr>
          <w:p w:rsidR="00644BC8" w:rsidRPr="00AC2B38" w:rsidRDefault="00644BC8" w:rsidP="00FB7516">
            <w:pPr>
              <w:jc w:val="both"/>
              <w:rPr>
                <w:bCs/>
                <w:sz w:val="24"/>
                <w:szCs w:val="24"/>
              </w:rPr>
            </w:pPr>
            <w:r w:rsidRPr="00AC2B38">
              <w:rPr>
                <w:bCs/>
                <w:sz w:val="24"/>
                <w:szCs w:val="24"/>
              </w:rPr>
              <w:t>Згідно таблиці 1</w:t>
            </w:r>
            <w:r w:rsidRPr="00AC2B38">
              <w:rPr>
                <w:b/>
                <w:noProof/>
                <w:sz w:val="24"/>
                <w:szCs w:val="24"/>
              </w:rPr>
              <w:t xml:space="preserve"> “</w:t>
            </w:r>
            <w:r w:rsidRPr="00AC2B38">
              <w:rPr>
                <w:noProof/>
                <w:sz w:val="24"/>
                <w:szCs w:val="24"/>
              </w:rPr>
              <w:t>Перелік транспортних засобів</w:t>
            </w:r>
            <w:r w:rsidRPr="00AC2B38">
              <w:rPr>
                <w:bCs/>
                <w:sz w:val="24"/>
                <w:szCs w:val="24"/>
              </w:rPr>
              <w:t xml:space="preserve"> для оформлення Полісів обов’язкового страхування цивільно-правової відповідальності власників наземних транспортних </w:t>
            </w:r>
            <w:proofErr w:type="spellStart"/>
            <w:r w:rsidRPr="00AC2B38">
              <w:rPr>
                <w:bCs/>
                <w:sz w:val="24"/>
                <w:szCs w:val="24"/>
              </w:rPr>
              <w:t>засобів”</w:t>
            </w:r>
            <w:proofErr w:type="spellEnd"/>
            <w:r w:rsidRPr="00AC2B38">
              <w:rPr>
                <w:bCs/>
                <w:sz w:val="24"/>
                <w:szCs w:val="24"/>
              </w:rPr>
              <w:t>.</w:t>
            </w:r>
          </w:p>
        </w:tc>
      </w:tr>
      <w:tr w:rsidR="00644BC8" w:rsidRPr="00AC2B38" w:rsidTr="00FB7516">
        <w:tc>
          <w:tcPr>
            <w:tcW w:w="1985" w:type="dxa"/>
            <w:shd w:val="clear" w:color="auto" w:fill="auto"/>
          </w:tcPr>
          <w:p w:rsidR="00644BC8" w:rsidRPr="00AC2B38" w:rsidRDefault="00644BC8" w:rsidP="00FB7516">
            <w:pPr>
              <w:pStyle w:val="a9"/>
              <w:tabs>
                <w:tab w:val="left" w:pos="3119"/>
              </w:tabs>
              <w:snapToGrid w:val="0"/>
              <w:ind w:right="5"/>
            </w:pPr>
            <w:r w:rsidRPr="00AC2B38">
              <w:t>Кількість, обсяг закупівлі</w:t>
            </w:r>
          </w:p>
        </w:tc>
        <w:tc>
          <w:tcPr>
            <w:tcW w:w="7796" w:type="dxa"/>
            <w:shd w:val="clear" w:color="auto" w:fill="auto"/>
            <w:vAlign w:val="center"/>
          </w:tcPr>
          <w:p w:rsidR="00644BC8" w:rsidRPr="00AC2B38" w:rsidRDefault="00644BC8" w:rsidP="00FB7516">
            <w:pPr>
              <w:pStyle w:val="13"/>
              <w:jc w:val="both"/>
              <w:rPr>
                <w:rFonts w:ascii="Times New Roman" w:eastAsia="Arial" w:hAnsi="Times New Roman"/>
                <w:sz w:val="24"/>
                <w:szCs w:val="24"/>
                <w:lang w:eastAsia="ar-SA"/>
              </w:rPr>
            </w:pPr>
            <w:r w:rsidRPr="00AC2B38">
              <w:rPr>
                <w:rFonts w:ascii="Times New Roman" w:eastAsia="Times New Roman" w:hAnsi="Times New Roman"/>
                <w:bCs/>
                <w:sz w:val="24"/>
                <w:szCs w:val="24"/>
              </w:rPr>
              <w:t xml:space="preserve">1 послуга </w:t>
            </w:r>
          </w:p>
        </w:tc>
      </w:tr>
      <w:tr w:rsidR="00644BC8" w:rsidRPr="00AC2B38" w:rsidTr="00FB7516">
        <w:tc>
          <w:tcPr>
            <w:tcW w:w="1985" w:type="dxa"/>
            <w:shd w:val="clear" w:color="auto" w:fill="auto"/>
          </w:tcPr>
          <w:p w:rsidR="00644BC8" w:rsidRPr="00AC2B38" w:rsidRDefault="00644BC8" w:rsidP="00FB7516">
            <w:pPr>
              <w:pStyle w:val="a9"/>
              <w:tabs>
                <w:tab w:val="left" w:pos="3119"/>
              </w:tabs>
              <w:snapToGrid w:val="0"/>
              <w:ind w:right="5"/>
            </w:pPr>
            <w:r w:rsidRPr="00AC2B38">
              <w:t>Адреса надання послуг:</w:t>
            </w:r>
          </w:p>
        </w:tc>
        <w:tc>
          <w:tcPr>
            <w:tcW w:w="7796" w:type="dxa"/>
            <w:shd w:val="clear" w:color="auto" w:fill="auto"/>
          </w:tcPr>
          <w:p w:rsidR="00644BC8" w:rsidRPr="00AC2B38" w:rsidRDefault="00644BC8" w:rsidP="00FB7516">
            <w:pPr>
              <w:jc w:val="both"/>
              <w:rPr>
                <w:sz w:val="24"/>
                <w:szCs w:val="24"/>
              </w:rPr>
            </w:pPr>
            <w:r w:rsidRPr="00AC2B38">
              <w:rPr>
                <w:sz w:val="24"/>
                <w:szCs w:val="24"/>
              </w:rPr>
              <w:t xml:space="preserve"> 76005, м. Івано-Франківськ, вул. Чорновола, 159.</w:t>
            </w:r>
          </w:p>
        </w:tc>
      </w:tr>
    </w:tbl>
    <w:p w:rsidR="00644BC8" w:rsidRPr="00AC2B38" w:rsidRDefault="00644BC8" w:rsidP="00644BC8">
      <w:pPr>
        <w:pStyle w:val="12"/>
        <w:numPr>
          <w:ilvl w:val="0"/>
          <w:numId w:val="16"/>
        </w:numPr>
        <w:tabs>
          <w:tab w:val="center" w:pos="567"/>
          <w:tab w:val="center" w:pos="851"/>
          <w:tab w:val="center" w:pos="1134"/>
          <w:tab w:val="left" w:pos="2977"/>
          <w:tab w:val="left" w:pos="3052"/>
          <w:tab w:val="left" w:pos="3119"/>
          <w:tab w:val="left" w:pos="3402"/>
        </w:tabs>
        <w:ind w:left="714" w:hanging="357"/>
        <w:jc w:val="center"/>
        <w:rPr>
          <w:b/>
          <w:bCs/>
        </w:rPr>
      </w:pPr>
      <w:r w:rsidRPr="00AC2B38">
        <w:rPr>
          <w:b/>
          <w:bCs/>
        </w:rPr>
        <w:lastRenderedPageBreak/>
        <w:t xml:space="preserve"> Технічні вимоги надання послуг</w:t>
      </w:r>
    </w:p>
    <w:p w:rsidR="00644BC8" w:rsidRPr="00AC2B38" w:rsidRDefault="00644BC8" w:rsidP="00644BC8">
      <w:pPr>
        <w:pStyle w:val="12"/>
        <w:tabs>
          <w:tab w:val="center" w:pos="567"/>
          <w:tab w:val="center" w:pos="851"/>
          <w:tab w:val="center" w:pos="1134"/>
          <w:tab w:val="left" w:pos="2977"/>
          <w:tab w:val="left" w:pos="3052"/>
          <w:tab w:val="left" w:pos="3119"/>
          <w:tab w:val="left" w:pos="3402"/>
        </w:tabs>
        <w:ind w:left="357"/>
        <w:rPr>
          <w:b/>
          <w:bCs/>
        </w:rPr>
      </w:pPr>
    </w:p>
    <w:p w:rsidR="00644BC8" w:rsidRPr="00AC2B38" w:rsidRDefault="00644BC8" w:rsidP="00644BC8">
      <w:pPr>
        <w:ind w:firstLine="567"/>
        <w:jc w:val="both"/>
        <w:rPr>
          <w:b/>
          <w:sz w:val="24"/>
          <w:szCs w:val="24"/>
        </w:rPr>
      </w:pPr>
      <w:r w:rsidRPr="00AC2B38">
        <w:rPr>
          <w:b/>
          <w:sz w:val="24"/>
          <w:szCs w:val="24"/>
        </w:rPr>
        <w:t xml:space="preserve"> Інформація про об’єкт страхування: </w:t>
      </w:r>
      <w:r w:rsidRPr="00AC2B38">
        <w:rPr>
          <w:sz w:val="24"/>
          <w:szCs w:val="24"/>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 (далі – ТЗ).</w:t>
      </w:r>
    </w:p>
    <w:p w:rsidR="00644BC8" w:rsidRPr="00AC2B38" w:rsidRDefault="00644BC8" w:rsidP="00644BC8">
      <w:pPr>
        <w:ind w:firstLine="567"/>
        <w:jc w:val="both"/>
        <w:rPr>
          <w:b/>
          <w:sz w:val="24"/>
          <w:szCs w:val="24"/>
        </w:rPr>
      </w:pPr>
      <w:r w:rsidRPr="00AC2B38">
        <w:rPr>
          <w:b/>
          <w:sz w:val="24"/>
          <w:szCs w:val="24"/>
        </w:rPr>
        <w:t xml:space="preserve">Вид страхування: </w:t>
      </w:r>
      <w:r w:rsidRPr="00AC2B38">
        <w:rPr>
          <w:sz w:val="24"/>
          <w:szCs w:val="24"/>
        </w:rPr>
        <w:t>обов’язкове страхування цивільно-правової відповідальності власників наземних транспортних засобів.</w:t>
      </w:r>
    </w:p>
    <w:p w:rsidR="00644BC8" w:rsidRPr="00AC2B38" w:rsidRDefault="00644BC8" w:rsidP="00644BC8">
      <w:pPr>
        <w:ind w:firstLine="567"/>
        <w:jc w:val="both"/>
        <w:rPr>
          <w:b/>
          <w:sz w:val="24"/>
          <w:szCs w:val="24"/>
        </w:rPr>
      </w:pPr>
      <w:r w:rsidRPr="00AC2B38">
        <w:rPr>
          <w:b/>
          <w:sz w:val="24"/>
          <w:szCs w:val="24"/>
        </w:rPr>
        <w:t xml:space="preserve">Перелік страхових ризиків (випадків): </w:t>
      </w:r>
      <w:r w:rsidRPr="00AC2B38">
        <w:rPr>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AC2B38">
        <w:rPr>
          <w:b/>
          <w:sz w:val="24"/>
          <w:szCs w:val="24"/>
        </w:rPr>
        <w:t>страховим випадком є</w:t>
      </w:r>
      <w:r w:rsidRPr="00AC2B38">
        <w:rPr>
          <w:sz w:val="24"/>
          <w:szCs w:val="24"/>
        </w:rPr>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rsidR="00644BC8" w:rsidRPr="00AC2B38" w:rsidRDefault="00644BC8" w:rsidP="00644BC8">
      <w:pPr>
        <w:keepNext/>
        <w:ind w:firstLine="567"/>
        <w:jc w:val="both"/>
        <w:rPr>
          <w:b/>
          <w:sz w:val="24"/>
          <w:szCs w:val="24"/>
        </w:rPr>
      </w:pPr>
      <w:r w:rsidRPr="00AC2B38">
        <w:rPr>
          <w:b/>
          <w:sz w:val="24"/>
          <w:szCs w:val="24"/>
        </w:rPr>
        <w:t>Обов'язковий ліміт відповідальності:</w:t>
      </w:r>
    </w:p>
    <w:p w:rsidR="00644BC8" w:rsidRPr="00AC2B38" w:rsidRDefault="00644BC8" w:rsidP="00644BC8">
      <w:pPr>
        <w:pStyle w:val="af2"/>
        <w:keepNext/>
        <w:numPr>
          <w:ilvl w:val="0"/>
          <w:numId w:val="18"/>
        </w:numPr>
        <w:ind w:left="0" w:firstLine="567"/>
        <w:contextualSpacing/>
        <w:jc w:val="both"/>
        <w:rPr>
          <w:bCs/>
          <w:i/>
          <w:sz w:val="24"/>
          <w:szCs w:val="24"/>
        </w:rPr>
      </w:pPr>
      <w:r w:rsidRPr="00AC2B38">
        <w:rPr>
          <w:bCs/>
          <w:i/>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rsidR="00644BC8" w:rsidRPr="00AC2B38" w:rsidRDefault="00644BC8" w:rsidP="00644BC8">
      <w:pPr>
        <w:pStyle w:val="af2"/>
        <w:keepNext/>
        <w:numPr>
          <w:ilvl w:val="0"/>
          <w:numId w:val="18"/>
        </w:numPr>
        <w:ind w:left="0" w:firstLine="567"/>
        <w:contextualSpacing/>
        <w:jc w:val="both"/>
        <w:rPr>
          <w:bCs/>
          <w:sz w:val="24"/>
          <w:szCs w:val="24"/>
        </w:rPr>
      </w:pPr>
      <w:r w:rsidRPr="00AC2B38">
        <w:rPr>
          <w:bCs/>
          <w:i/>
          <w:sz w:val="24"/>
          <w:szCs w:val="24"/>
        </w:rPr>
        <w:t>500 тисяч гривень на одну потерпілу особу та 5 мільйонів гривень на один страховий випадок незалежно від кількості потерпілих осіб</w:t>
      </w:r>
      <w:r w:rsidRPr="00AC2B38">
        <w:rPr>
          <w:bCs/>
          <w:sz w:val="24"/>
          <w:szCs w:val="24"/>
        </w:rPr>
        <w:t>.</w:t>
      </w:r>
    </w:p>
    <w:p w:rsidR="00644BC8" w:rsidRPr="00AC2B38" w:rsidRDefault="00644BC8" w:rsidP="00644BC8">
      <w:pPr>
        <w:pStyle w:val="af2"/>
        <w:keepNext/>
        <w:ind w:left="567"/>
        <w:jc w:val="both"/>
        <w:rPr>
          <w:bCs/>
          <w:sz w:val="24"/>
          <w:szCs w:val="24"/>
        </w:rPr>
      </w:pPr>
      <w:r w:rsidRPr="00AC2B38">
        <w:rPr>
          <w:bCs/>
          <w:sz w:val="24"/>
          <w:szCs w:val="24"/>
        </w:rPr>
        <w:t xml:space="preserve">При відшкодуванні шкоди </w:t>
      </w:r>
      <w:proofErr w:type="spellStart"/>
      <w:r w:rsidRPr="00AC2B38">
        <w:rPr>
          <w:bCs/>
          <w:sz w:val="24"/>
          <w:szCs w:val="24"/>
        </w:rPr>
        <w:t>франшиза</w:t>
      </w:r>
      <w:proofErr w:type="spellEnd"/>
      <w:r w:rsidRPr="00AC2B38">
        <w:rPr>
          <w:bCs/>
          <w:sz w:val="24"/>
          <w:szCs w:val="24"/>
        </w:rPr>
        <w:t xml:space="preserve"> не встановлюється.</w:t>
      </w:r>
    </w:p>
    <w:p w:rsidR="00644BC8" w:rsidRPr="00AC2B38" w:rsidRDefault="00644BC8" w:rsidP="00644BC8">
      <w:pPr>
        <w:tabs>
          <w:tab w:val="left" w:pos="284"/>
          <w:tab w:val="left" w:pos="567"/>
        </w:tabs>
        <w:jc w:val="both"/>
        <w:rPr>
          <w:sz w:val="24"/>
          <w:szCs w:val="24"/>
        </w:rPr>
      </w:pPr>
      <w:r w:rsidRPr="00AC2B38">
        <w:rPr>
          <w:b/>
          <w:sz w:val="24"/>
          <w:szCs w:val="24"/>
        </w:rPr>
        <w:tab/>
      </w:r>
      <w:r w:rsidRPr="00AC2B38">
        <w:rPr>
          <w:b/>
          <w:sz w:val="24"/>
          <w:szCs w:val="24"/>
        </w:rPr>
        <w:tab/>
        <w:t>Договір страхування:</w:t>
      </w:r>
      <w:r w:rsidRPr="00AC2B38">
        <w:rPr>
          <w:sz w:val="24"/>
          <w:szCs w:val="24"/>
        </w:rPr>
        <w:t xml:space="preserve"> набирає чинності з дати його підписання Сторонами та діє до 31.12.2025, але у будь-якому випадку до виконання в повному обсязі Сторонами своїх зобов'язань, передбачених відповідними Полісами та Законом.</w:t>
      </w:r>
    </w:p>
    <w:p w:rsidR="00644BC8" w:rsidRPr="00AC2B38" w:rsidRDefault="00644BC8" w:rsidP="00AC2B38">
      <w:pPr>
        <w:ind w:firstLine="567"/>
        <w:jc w:val="both"/>
        <w:rPr>
          <w:sz w:val="24"/>
          <w:szCs w:val="24"/>
        </w:rPr>
      </w:pPr>
      <w:r w:rsidRPr="00AC2B38">
        <w:rPr>
          <w:sz w:val="24"/>
          <w:szCs w:val="24"/>
        </w:rPr>
        <w:t>Учасник обов’язково повинен бути членом Моторного-транспортного страхового бюро України (далі – Бюро) та надає копію документа, який підтверджує його членство в зазначеному вище Бюро.</w:t>
      </w:r>
    </w:p>
    <w:p w:rsidR="00644BC8" w:rsidRPr="00AC2B38" w:rsidRDefault="00644BC8" w:rsidP="00644BC8">
      <w:pPr>
        <w:ind w:firstLine="567"/>
        <w:jc w:val="both"/>
        <w:rPr>
          <w:b/>
          <w:sz w:val="24"/>
          <w:szCs w:val="24"/>
        </w:rPr>
      </w:pPr>
    </w:p>
    <w:p w:rsidR="00644BC8" w:rsidRPr="00AC2B38" w:rsidRDefault="00644BC8" w:rsidP="00644BC8">
      <w:pPr>
        <w:pStyle w:val="a"/>
        <w:numPr>
          <w:ilvl w:val="0"/>
          <w:numId w:val="0"/>
        </w:numPr>
        <w:spacing w:before="0" w:after="0"/>
        <w:ind w:left="709"/>
      </w:pPr>
      <w:r w:rsidRPr="00AC2B38">
        <w:t xml:space="preserve">Послуги надаються за переліком транспортних засобів, зазначеними у Таблиці 1. </w:t>
      </w:r>
    </w:p>
    <w:p w:rsidR="00644BC8" w:rsidRPr="00AC2B38" w:rsidRDefault="00644BC8" w:rsidP="00644BC8">
      <w:pPr>
        <w:pStyle w:val="a"/>
        <w:numPr>
          <w:ilvl w:val="0"/>
          <w:numId w:val="0"/>
        </w:numPr>
        <w:jc w:val="right"/>
        <w:rPr>
          <w:noProof/>
        </w:rPr>
      </w:pPr>
      <w:r w:rsidRPr="00AC2B38">
        <w:rPr>
          <w:noProof/>
        </w:rPr>
        <w:t>Таблиця 1</w:t>
      </w:r>
    </w:p>
    <w:p w:rsidR="00644BC8" w:rsidRPr="00AC2B38" w:rsidRDefault="00644BC8" w:rsidP="00644BC8">
      <w:pPr>
        <w:jc w:val="center"/>
        <w:rPr>
          <w:noProof/>
          <w:sz w:val="24"/>
          <w:szCs w:val="24"/>
        </w:rPr>
      </w:pPr>
      <w:r w:rsidRPr="00AC2B38">
        <w:rPr>
          <w:noProof/>
          <w:sz w:val="24"/>
          <w:szCs w:val="24"/>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rsidR="00644BC8" w:rsidRPr="00AC2B38" w:rsidRDefault="00644BC8" w:rsidP="00644BC8">
      <w:pPr>
        <w:jc w:val="center"/>
        <w:rPr>
          <w:b/>
          <w:bCs/>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701"/>
        <w:gridCol w:w="1686"/>
        <w:gridCol w:w="1103"/>
        <w:gridCol w:w="1515"/>
        <w:gridCol w:w="1925"/>
        <w:gridCol w:w="1533"/>
      </w:tblGrid>
      <w:tr w:rsidR="00644BC8" w:rsidRPr="00AC2B38" w:rsidTr="00FB7516">
        <w:tc>
          <w:tcPr>
            <w:tcW w:w="1134" w:type="dxa"/>
          </w:tcPr>
          <w:p w:rsidR="00644BC8" w:rsidRPr="00AC2B38" w:rsidRDefault="00644BC8" w:rsidP="00FB7516">
            <w:pPr>
              <w:pStyle w:val="a"/>
              <w:numPr>
                <w:ilvl w:val="0"/>
                <w:numId w:val="0"/>
              </w:numPr>
              <w:jc w:val="center"/>
              <w:rPr>
                <w:noProof/>
              </w:rPr>
            </w:pPr>
            <w:r w:rsidRPr="00AC2B38">
              <w:rPr>
                <w:noProof/>
              </w:rPr>
              <w:t>№ з/п</w:t>
            </w:r>
          </w:p>
        </w:tc>
        <w:tc>
          <w:tcPr>
            <w:tcW w:w="1701" w:type="dxa"/>
            <w:vAlign w:val="center"/>
          </w:tcPr>
          <w:p w:rsidR="00644BC8" w:rsidRPr="00AC2B38" w:rsidRDefault="00644BC8" w:rsidP="00FB7516">
            <w:pPr>
              <w:pStyle w:val="a"/>
              <w:numPr>
                <w:ilvl w:val="0"/>
                <w:numId w:val="0"/>
              </w:numPr>
              <w:jc w:val="center"/>
              <w:rPr>
                <w:noProof/>
              </w:rPr>
            </w:pPr>
            <w:r w:rsidRPr="00AC2B38">
              <w:rPr>
                <w:noProof/>
              </w:rPr>
              <w:t>Марка, модель</w:t>
            </w:r>
          </w:p>
        </w:tc>
        <w:tc>
          <w:tcPr>
            <w:tcW w:w="1686" w:type="dxa"/>
            <w:vAlign w:val="center"/>
          </w:tcPr>
          <w:p w:rsidR="00644BC8" w:rsidRPr="00AC2B38" w:rsidRDefault="00644BC8" w:rsidP="00FB7516">
            <w:pPr>
              <w:pStyle w:val="a"/>
              <w:numPr>
                <w:ilvl w:val="0"/>
                <w:numId w:val="0"/>
              </w:numPr>
              <w:jc w:val="center"/>
              <w:rPr>
                <w:rFonts w:eastAsia="Calibri"/>
              </w:rPr>
            </w:pPr>
            <w:r w:rsidRPr="00AC2B38">
              <w:rPr>
                <w:rFonts w:eastAsia="Calibri"/>
              </w:rPr>
              <w:t>Об'єм двигуна,см</w:t>
            </w:r>
            <w:r w:rsidRPr="00AC2B38">
              <w:rPr>
                <w:rFonts w:eastAsia="Calibri"/>
                <w:vertAlign w:val="superscript"/>
              </w:rPr>
              <w:t xml:space="preserve">3  </w:t>
            </w:r>
            <w:r w:rsidRPr="00AC2B38">
              <w:rPr>
                <w:noProof/>
              </w:rPr>
              <w:t xml:space="preserve">  </w:t>
            </w:r>
          </w:p>
        </w:tc>
        <w:tc>
          <w:tcPr>
            <w:tcW w:w="1103" w:type="dxa"/>
            <w:vAlign w:val="center"/>
          </w:tcPr>
          <w:p w:rsidR="00644BC8" w:rsidRPr="00AC2B38" w:rsidRDefault="00644BC8" w:rsidP="00FB7516">
            <w:pPr>
              <w:pStyle w:val="a"/>
              <w:numPr>
                <w:ilvl w:val="0"/>
                <w:numId w:val="0"/>
              </w:numPr>
              <w:jc w:val="center"/>
              <w:rPr>
                <w:noProof/>
              </w:rPr>
            </w:pPr>
            <w:r w:rsidRPr="00AC2B38">
              <w:rPr>
                <w:noProof/>
              </w:rPr>
              <w:t>Рік випуску</w:t>
            </w:r>
          </w:p>
        </w:tc>
        <w:tc>
          <w:tcPr>
            <w:tcW w:w="1515" w:type="dxa"/>
            <w:vAlign w:val="center"/>
          </w:tcPr>
          <w:p w:rsidR="00644BC8" w:rsidRPr="00AC2B38" w:rsidRDefault="00644BC8" w:rsidP="00FB7516">
            <w:pPr>
              <w:pStyle w:val="a"/>
              <w:numPr>
                <w:ilvl w:val="0"/>
                <w:numId w:val="0"/>
              </w:numPr>
              <w:jc w:val="center"/>
              <w:rPr>
                <w:noProof/>
              </w:rPr>
            </w:pPr>
            <w:proofErr w:type="spellStart"/>
            <w:r w:rsidRPr="00AC2B38">
              <w:rPr>
                <w:rFonts w:eastAsia="Calibri"/>
                <w:lang w:val="ru-RU" w:eastAsia="ar-SA"/>
              </w:rPr>
              <w:t>Державний</w:t>
            </w:r>
            <w:proofErr w:type="spellEnd"/>
            <w:r w:rsidRPr="00AC2B38">
              <w:rPr>
                <w:rFonts w:eastAsia="Calibri"/>
                <w:lang w:val="ru-RU" w:eastAsia="ar-SA"/>
              </w:rPr>
              <w:t xml:space="preserve"> </w:t>
            </w:r>
            <w:proofErr w:type="spellStart"/>
            <w:r w:rsidRPr="00AC2B38">
              <w:rPr>
                <w:rFonts w:eastAsia="Calibri"/>
                <w:lang w:val="ru-RU" w:eastAsia="ar-SA"/>
              </w:rPr>
              <w:t>номерний</w:t>
            </w:r>
            <w:proofErr w:type="spellEnd"/>
            <w:r w:rsidRPr="00AC2B38">
              <w:rPr>
                <w:rFonts w:eastAsia="Calibri"/>
                <w:lang w:val="ru-RU" w:eastAsia="ar-SA"/>
              </w:rPr>
              <w:t xml:space="preserve">  знак ТЗ</w:t>
            </w:r>
          </w:p>
        </w:tc>
        <w:tc>
          <w:tcPr>
            <w:tcW w:w="1925" w:type="dxa"/>
            <w:vAlign w:val="center"/>
          </w:tcPr>
          <w:p w:rsidR="00644BC8" w:rsidRPr="00AC2B38" w:rsidRDefault="00644BC8" w:rsidP="00FB7516">
            <w:pPr>
              <w:pStyle w:val="a"/>
              <w:numPr>
                <w:ilvl w:val="0"/>
                <w:numId w:val="0"/>
              </w:numPr>
              <w:jc w:val="center"/>
              <w:rPr>
                <w:noProof/>
              </w:rPr>
            </w:pPr>
            <w:r w:rsidRPr="00AC2B38">
              <w:rPr>
                <w:noProof/>
                <w:lang w:val="ru-RU"/>
              </w:rPr>
              <w:t>Строк страхування (к</w:t>
            </w:r>
            <w:r w:rsidRPr="00AC2B38">
              <w:rPr>
                <w:noProof/>
              </w:rPr>
              <w:t>і</w:t>
            </w:r>
            <w:r w:rsidRPr="00AC2B38">
              <w:rPr>
                <w:noProof/>
                <w:lang w:val="ru-RU"/>
              </w:rPr>
              <w:t>лькість місяців)</w:t>
            </w:r>
          </w:p>
        </w:tc>
        <w:tc>
          <w:tcPr>
            <w:tcW w:w="1533" w:type="dxa"/>
          </w:tcPr>
          <w:p w:rsidR="00644BC8" w:rsidRPr="00AC2B38" w:rsidRDefault="00644BC8" w:rsidP="00FB7516">
            <w:pPr>
              <w:pStyle w:val="a"/>
              <w:numPr>
                <w:ilvl w:val="0"/>
                <w:numId w:val="0"/>
              </w:numPr>
              <w:tabs>
                <w:tab w:val="center" w:pos="575"/>
              </w:tabs>
              <w:jc w:val="left"/>
              <w:rPr>
                <w:noProof/>
                <w:lang w:val="ru-RU"/>
              </w:rPr>
            </w:pPr>
          </w:p>
          <w:p w:rsidR="00644BC8" w:rsidRPr="00AC2B38" w:rsidRDefault="00644BC8" w:rsidP="00FB7516">
            <w:pPr>
              <w:pStyle w:val="a"/>
              <w:numPr>
                <w:ilvl w:val="0"/>
                <w:numId w:val="0"/>
              </w:numPr>
              <w:tabs>
                <w:tab w:val="center" w:pos="575"/>
              </w:tabs>
              <w:jc w:val="left"/>
              <w:rPr>
                <w:noProof/>
                <w:lang w:val="ru-RU"/>
              </w:rPr>
            </w:pPr>
            <w:r w:rsidRPr="00AC2B38">
              <w:rPr>
                <w:noProof/>
                <w:lang w:val="ru-RU"/>
              </w:rPr>
              <w:t xml:space="preserve">     Тип ТЗ</w:t>
            </w:r>
          </w:p>
        </w:tc>
      </w:tr>
      <w:tr w:rsidR="00644BC8" w:rsidRPr="00AC2B38" w:rsidTr="00FB7516">
        <w:tc>
          <w:tcPr>
            <w:tcW w:w="1134" w:type="dxa"/>
            <w:vAlign w:val="center"/>
          </w:tcPr>
          <w:p w:rsidR="00644BC8" w:rsidRPr="00AC2B38" w:rsidRDefault="00644BC8" w:rsidP="00FB7516">
            <w:pPr>
              <w:pStyle w:val="a"/>
              <w:numPr>
                <w:ilvl w:val="0"/>
                <w:numId w:val="0"/>
              </w:numPr>
              <w:jc w:val="center"/>
              <w:rPr>
                <w:noProof/>
              </w:rPr>
            </w:pPr>
            <w:r w:rsidRPr="00AC2B38">
              <w:rPr>
                <w:noProof/>
              </w:rPr>
              <w:t>1.</w:t>
            </w:r>
          </w:p>
        </w:tc>
        <w:tc>
          <w:tcPr>
            <w:tcW w:w="1701" w:type="dxa"/>
            <w:vAlign w:val="center"/>
          </w:tcPr>
          <w:p w:rsidR="00644BC8" w:rsidRPr="00AC2B38" w:rsidRDefault="00644BC8" w:rsidP="00FB7516">
            <w:pPr>
              <w:pStyle w:val="a"/>
              <w:numPr>
                <w:ilvl w:val="0"/>
                <w:numId w:val="0"/>
              </w:numPr>
              <w:jc w:val="left"/>
              <w:rPr>
                <w:noProof/>
              </w:rPr>
            </w:pPr>
            <w:r w:rsidRPr="00AC2B38">
              <w:rPr>
                <w:noProof/>
                <w:lang w:val="en-US"/>
              </w:rPr>
              <w:t>MERCEDES-BENZ (VITO TOURER)</w:t>
            </w:r>
          </w:p>
        </w:tc>
        <w:tc>
          <w:tcPr>
            <w:tcW w:w="1686" w:type="dxa"/>
            <w:vAlign w:val="center"/>
          </w:tcPr>
          <w:p w:rsidR="00644BC8" w:rsidRPr="00AC2B38" w:rsidRDefault="00644BC8" w:rsidP="00FB7516">
            <w:pPr>
              <w:pStyle w:val="a"/>
              <w:numPr>
                <w:ilvl w:val="0"/>
                <w:numId w:val="0"/>
              </w:numPr>
              <w:jc w:val="center"/>
              <w:rPr>
                <w:noProof/>
              </w:rPr>
            </w:pPr>
            <w:r w:rsidRPr="00AC2B38">
              <w:rPr>
                <w:noProof/>
                <w:lang w:val="en-US"/>
              </w:rPr>
              <w:t>214</w:t>
            </w:r>
            <w:r w:rsidRPr="00AC2B38">
              <w:rPr>
                <w:noProof/>
              </w:rPr>
              <w:t>3</w:t>
            </w:r>
          </w:p>
        </w:tc>
        <w:tc>
          <w:tcPr>
            <w:tcW w:w="1103" w:type="dxa"/>
            <w:vAlign w:val="center"/>
          </w:tcPr>
          <w:p w:rsidR="00644BC8" w:rsidRPr="00AC2B38" w:rsidRDefault="00644BC8" w:rsidP="00FB7516">
            <w:pPr>
              <w:pStyle w:val="a"/>
              <w:numPr>
                <w:ilvl w:val="0"/>
                <w:numId w:val="0"/>
              </w:numPr>
              <w:jc w:val="center"/>
              <w:rPr>
                <w:noProof/>
                <w:lang w:val="en-US"/>
              </w:rPr>
            </w:pPr>
            <w:r w:rsidRPr="00AC2B38">
              <w:rPr>
                <w:noProof/>
                <w:lang w:val="en-US"/>
              </w:rPr>
              <w:t>2016</w:t>
            </w:r>
          </w:p>
        </w:tc>
        <w:tc>
          <w:tcPr>
            <w:tcW w:w="1515" w:type="dxa"/>
            <w:vAlign w:val="center"/>
          </w:tcPr>
          <w:p w:rsidR="00644BC8" w:rsidRPr="00AC2B38" w:rsidRDefault="00644BC8" w:rsidP="00FB7516">
            <w:pPr>
              <w:pStyle w:val="a"/>
              <w:numPr>
                <w:ilvl w:val="0"/>
                <w:numId w:val="0"/>
              </w:numPr>
              <w:jc w:val="center"/>
              <w:rPr>
                <w:noProof/>
                <w:lang w:val="en-US"/>
              </w:rPr>
            </w:pPr>
            <w:r w:rsidRPr="00AC2B38">
              <w:rPr>
                <w:noProof/>
              </w:rPr>
              <w:t xml:space="preserve">АТ </w:t>
            </w:r>
            <w:r w:rsidRPr="00AC2B38">
              <w:rPr>
                <w:noProof/>
                <w:lang w:val="en-US"/>
              </w:rPr>
              <w:t>8697 II</w:t>
            </w:r>
            <w:r w:rsidRPr="00AC2B38">
              <w:rPr>
                <w:noProof/>
              </w:rPr>
              <w:t xml:space="preserve"> </w:t>
            </w:r>
          </w:p>
        </w:tc>
        <w:tc>
          <w:tcPr>
            <w:tcW w:w="1925" w:type="dxa"/>
            <w:vAlign w:val="center"/>
          </w:tcPr>
          <w:p w:rsidR="00644BC8" w:rsidRPr="00AC2B38" w:rsidRDefault="00644BC8" w:rsidP="00FB7516">
            <w:pPr>
              <w:pStyle w:val="a"/>
              <w:numPr>
                <w:ilvl w:val="0"/>
                <w:numId w:val="0"/>
              </w:numPr>
              <w:jc w:val="center"/>
              <w:rPr>
                <w:noProof/>
              </w:rPr>
            </w:pPr>
            <w:r w:rsidRPr="00AC2B38">
              <w:rPr>
                <w:noProof/>
              </w:rPr>
              <w:t>12 місяців</w:t>
            </w:r>
          </w:p>
        </w:tc>
        <w:tc>
          <w:tcPr>
            <w:tcW w:w="1533" w:type="dxa"/>
          </w:tcPr>
          <w:p w:rsidR="00644BC8" w:rsidRPr="00AC2B38" w:rsidRDefault="00644BC8" w:rsidP="00FB7516">
            <w:pPr>
              <w:pStyle w:val="a"/>
              <w:numPr>
                <w:ilvl w:val="0"/>
                <w:numId w:val="0"/>
              </w:numPr>
              <w:jc w:val="center"/>
              <w:rPr>
                <w:noProof/>
                <w:lang w:val="en-US"/>
              </w:rPr>
            </w:pPr>
          </w:p>
          <w:p w:rsidR="00644BC8" w:rsidRPr="00AC2B38" w:rsidRDefault="00644BC8" w:rsidP="00FB7516">
            <w:pPr>
              <w:pStyle w:val="a"/>
              <w:numPr>
                <w:ilvl w:val="0"/>
                <w:numId w:val="0"/>
              </w:numPr>
              <w:rPr>
                <w:noProof/>
                <w:lang w:val="en-US"/>
              </w:rPr>
            </w:pPr>
            <w:r w:rsidRPr="00AC2B38">
              <w:rPr>
                <w:noProof/>
                <w:lang w:val="en-US"/>
              </w:rPr>
              <w:t xml:space="preserve">      </w:t>
            </w:r>
            <w:r w:rsidRPr="00AC2B38">
              <w:rPr>
                <w:noProof/>
              </w:rPr>
              <w:t xml:space="preserve"> B</w:t>
            </w:r>
            <w:r w:rsidRPr="00AC2B38">
              <w:rPr>
                <w:noProof/>
                <w:lang w:val="en-US"/>
              </w:rPr>
              <w:t>3</w:t>
            </w:r>
          </w:p>
        </w:tc>
      </w:tr>
    </w:tbl>
    <w:p w:rsidR="00DC23B6" w:rsidRPr="00AC2B38" w:rsidRDefault="00DC23B6" w:rsidP="008208D9">
      <w:pPr>
        <w:tabs>
          <w:tab w:val="left" w:pos="709"/>
          <w:tab w:val="left" w:pos="851"/>
        </w:tabs>
        <w:jc w:val="both"/>
        <w:rPr>
          <w:b/>
          <w:sz w:val="24"/>
          <w:szCs w:val="24"/>
          <w:lang w:val="ru-RU"/>
        </w:rPr>
      </w:pPr>
    </w:p>
    <w:p w:rsidR="009E1867" w:rsidRPr="00AC2B38" w:rsidRDefault="009E1867" w:rsidP="009E1867">
      <w:pPr>
        <w:ind w:firstLine="709"/>
        <w:contextualSpacing/>
        <w:mirrorIndents/>
        <w:jc w:val="right"/>
        <w:rPr>
          <w:b/>
          <w:bCs/>
          <w:i/>
          <w:sz w:val="24"/>
          <w:szCs w:val="24"/>
        </w:rPr>
      </w:pPr>
    </w:p>
    <w:p w:rsidR="00E2660F" w:rsidRPr="00AC2B38" w:rsidRDefault="00644BC8">
      <w:pPr>
        <w:tabs>
          <w:tab w:val="left" w:pos="709"/>
          <w:tab w:val="left" w:pos="851"/>
        </w:tabs>
        <w:jc w:val="both"/>
        <w:rPr>
          <w:rFonts w:eastAsia="Calibri"/>
          <w:sz w:val="24"/>
          <w:szCs w:val="24"/>
          <w:u w:val="single"/>
          <w:lang w:val="en-US" w:eastAsia="en-US"/>
        </w:rPr>
      </w:pPr>
      <w:r w:rsidRPr="00AC2B38">
        <w:rPr>
          <w:b/>
          <w:sz w:val="24"/>
          <w:szCs w:val="24"/>
        </w:rPr>
        <w:t xml:space="preserve"> </w:t>
      </w:r>
    </w:p>
    <w:sectPr w:rsidR="00E2660F" w:rsidRPr="00AC2B38"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145" w:rsidRDefault="00D54145" w:rsidP="0084708D">
      <w:r>
        <w:separator/>
      </w:r>
    </w:p>
  </w:endnote>
  <w:endnote w:type="continuationSeparator" w:id="0">
    <w:p w:rsidR="00D54145" w:rsidRDefault="00D54145" w:rsidP="00847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145" w:rsidRDefault="00D54145" w:rsidP="0084708D">
      <w:r>
        <w:separator/>
      </w:r>
    </w:p>
  </w:footnote>
  <w:footnote w:type="continuationSeparator" w:id="0">
    <w:p w:rsidR="00D54145" w:rsidRDefault="00D54145" w:rsidP="00847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0C3F32" w:rsidP="00266FBE">
    <w:pPr>
      <w:pStyle w:val="ad"/>
      <w:framePr w:wrap="around" w:vAnchor="text" w:hAnchor="margin" w:xAlign="center" w:y="1"/>
      <w:rPr>
        <w:rStyle w:val="af1"/>
      </w:rPr>
    </w:pPr>
    <w:r>
      <w:rPr>
        <w:rStyle w:val="af1"/>
      </w:rPr>
      <w:fldChar w:fldCharType="begin"/>
    </w:r>
    <w:r w:rsidR="00CE4F2F">
      <w:rPr>
        <w:rStyle w:val="af1"/>
      </w:rPr>
      <w:instrText xml:space="preserve">PAGE  </w:instrText>
    </w:r>
    <w:r>
      <w:rPr>
        <w:rStyle w:val="af1"/>
      </w:rPr>
      <w:fldChar w:fldCharType="end"/>
    </w:r>
  </w:p>
  <w:p w:rsidR="00CE4F2F" w:rsidRDefault="00CE4F2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0C3F32">
    <w:pPr>
      <w:pStyle w:val="ad"/>
      <w:jc w:val="center"/>
    </w:pPr>
    <w:fldSimple w:instr="PAGE   \* MERGEFORMAT">
      <w:r w:rsidR="00AC2B38">
        <w:rPr>
          <w:noProof/>
        </w:rPr>
        <w:t>2</w:t>
      </w:r>
    </w:fldSimple>
  </w:p>
  <w:p w:rsidR="00CE4F2F" w:rsidRDefault="00CE4F2F" w:rsidP="0084708D">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hyphenationZone w:val="425"/>
  <w:characterSpacingControl w:val="doNotCompress"/>
  <w:footnotePr>
    <w:footnote w:id="-1"/>
    <w:footnote w:id="0"/>
  </w:footnotePr>
  <w:endnotePr>
    <w:endnote w:id="-1"/>
    <w:endnote w:id="0"/>
  </w:endnotePr>
  <w:compat/>
  <w:rsids>
    <w:rsidRoot w:val="00634726"/>
    <w:rsid w:val="00002BE3"/>
    <w:rsid w:val="000079FB"/>
    <w:rsid w:val="0001281F"/>
    <w:rsid w:val="00017743"/>
    <w:rsid w:val="0003041F"/>
    <w:rsid w:val="0003417D"/>
    <w:rsid w:val="000341DE"/>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5B03"/>
    <w:rsid w:val="00122B5C"/>
    <w:rsid w:val="0012555C"/>
    <w:rsid w:val="0012754C"/>
    <w:rsid w:val="00130589"/>
    <w:rsid w:val="00136E2C"/>
    <w:rsid w:val="0014084A"/>
    <w:rsid w:val="00143C55"/>
    <w:rsid w:val="00143E24"/>
    <w:rsid w:val="00144CDC"/>
    <w:rsid w:val="001468DA"/>
    <w:rsid w:val="00150961"/>
    <w:rsid w:val="00156533"/>
    <w:rsid w:val="001573AE"/>
    <w:rsid w:val="0016269E"/>
    <w:rsid w:val="00164FCC"/>
    <w:rsid w:val="00167E5B"/>
    <w:rsid w:val="0017078E"/>
    <w:rsid w:val="00173B92"/>
    <w:rsid w:val="00180235"/>
    <w:rsid w:val="0018341F"/>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57D9"/>
    <w:rsid w:val="002C7C05"/>
    <w:rsid w:val="002D2CA6"/>
    <w:rsid w:val="002D3351"/>
    <w:rsid w:val="002D3EC6"/>
    <w:rsid w:val="002D67D9"/>
    <w:rsid w:val="002E018F"/>
    <w:rsid w:val="002E527F"/>
    <w:rsid w:val="002E6F01"/>
    <w:rsid w:val="002E714A"/>
    <w:rsid w:val="002F2C56"/>
    <w:rsid w:val="002F3D23"/>
    <w:rsid w:val="003039DE"/>
    <w:rsid w:val="00303EAB"/>
    <w:rsid w:val="003040A5"/>
    <w:rsid w:val="00310C06"/>
    <w:rsid w:val="00312679"/>
    <w:rsid w:val="0031415E"/>
    <w:rsid w:val="00315439"/>
    <w:rsid w:val="00315AE5"/>
    <w:rsid w:val="00323B37"/>
    <w:rsid w:val="003240DD"/>
    <w:rsid w:val="00326923"/>
    <w:rsid w:val="003330F4"/>
    <w:rsid w:val="003336B4"/>
    <w:rsid w:val="00336EFE"/>
    <w:rsid w:val="0034336B"/>
    <w:rsid w:val="0034614F"/>
    <w:rsid w:val="0035124F"/>
    <w:rsid w:val="003648F8"/>
    <w:rsid w:val="00364F3F"/>
    <w:rsid w:val="00365204"/>
    <w:rsid w:val="00366095"/>
    <w:rsid w:val="00371176"/>
    <w:rsid w:val="00373055"/>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6E"/>
    <w:rsid w:val="003F3180"/>
    <w:rsid w:val="003F7393"/>
    <w:rsid w:val="003F751C"/>
    <w:rsid w:val="00407E16"/>
    <w:rsid w:val="00412A03"/>
    <w:rsid w:val="004165CB"/>
    <w:rsid w:val="00422B08"/>
    <w:rsid w:val="00427744"/>
    <w:rsid w:val="00427D79"/>
    <w:rsid w:val="00430C70"/>
    <w:rsid w:val="0043183D"/>
    <w:rsid w:val="0043302E"/>
    <w:rsid w:val="00437026"/>
    <w:rsid w:val="00441B85"/>
    <w:rsid w:val="00444DBA"/>
    <w:rsid w:val="00446E43"/>
    <w:rsid w:val="00447099"/>
    <w:rsid w:val="004510AE"/>
    <w:rsid w:val="004524E3"/>
    <w:rsid w:val="00455E79"/>
    <w:rsid w:val="0045719E"/>
    <w:rsid w:val="00457ADC"/>
    <w:rsid w:val="004624D6"/>
    <w:rsid w:val="0046394F"/>
    <w:rsid w:val="004640F1"/>
    <w:rsid w:val="004669BC"/>
    <w:rsid w:val="004672C2"/>
    <w:rsid w:val="00467330"/>
    <w:rsid w:val="00467436"/>
    <w:rsid w:val="00470799"/>
    <w:rsid w:val="004709DC"/>
    <w:rsid w:val="00481544"/>
    <w:rsid w:val="0048194C"/>
    <w:rsid w:val="00481D3A"/>
    <w:rsid w:val="00483C08"/>
    <w:rsid w:val="00485D22"/>
    <w:rsid w:val="00486A3D"/>
    <w:rsid w:val="00487271"/>
    <w:rsid w:val="00493148"/>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3EA0"/>
    <w:rsid w:val="00516023"/>
    <w:rsid w:val="0051699C"/>
    <w:rsid w:val="00533867"/>
    <w:rsid w:val="0053391F"/>
    <w:rsid w:val="00536CAF"/>
    <w:rsid w:val="00546E4C"/>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3C79"/>
    <w:rsid w:val="006F5BEA"/>
    <w:rsid w:val="006F7FCC"/>
    <w:rsid w:val="00707C4F"/>
    <w:rsid w:val="00711248"/>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E1348"/>
    <w:rsid w:val="007E3820"/>
    <w:rsid w:val="007F1611"/>
    <w:rsid w:val="007F1DE8"/>
    <w:rsid w:val="007F6430"/>
    <w:rsid w:val="007F74BB"/>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6F8F"/>
    <w:rsid w:val="008A0AA8"/>
    <w:rsid w:val="008A1A09"/>
    <w:rsid w:val="008A2138"/>
    <w:rsid w:val="008A2333"/>
    <w:rsid w:val="008A2488"/>
    <w:rsid w:val="008A4845"/>
    <w:rsid w:val="008A7D0A"/>
    <w:rsid w:val="008B2929"/>
    <w:rsid w:val="008B63C1"/>
    <w:rsid w:val="008C11CE"/>
    <w:rsid w:val="008C15CE"/>
    <w:rsid w:val="008C3CBB"/>
    <w:rsid w:val="008D2064"/>
    <w:rsid w:val="008D5753"/>
    <w:rsid w:val="008D7D98"/>
    <w:rsid w:val="008E3324"/>
    <w:rsid w:val="008F2989"/>
    <w:rsid w:val="008F7206"/>
    <w:rsid w:val="00900727"/>
    <w:rsid w:val="009036F0"/>
    <w:rsid w:val="00903D64"/>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C55E8"/>
    <w:rsid w:val="009D07C6"/>
    <w:rsid w:val="009D0C3F"/>
    <w:rsid w:val="009D421E"/>
    <w:rsid w:val="009D59E2"/>
    <w:rsid w:val="009E1867"/>
    <w:rsid w:val="009E18ED"/>
    <w:rsid w:val="009E19F3"/>
    <w:rsid w:val="009E20FF"/>
    <w:rsid w:val="009E5074"/>
    <w:rsid w:val="009E5579"/>
    <w:rsid w:val="009E7AFC"/>
    <w:rsid w:val="009F5643"/>
    <w:rsid w:val="009F638A"/>
    <w:rsid w:val="009F6F80"/>
    <w:rsid w:val="00A003BE"/>
    <w:rsid w:val="00A026A5"/>
    <w:rsid w:val="00A02E26"/>
    <w:rsid w:val="00A06513"/>
    <w:rsid w:val="00A1299D"/>
    <w:rsid w:val="00A1350D"/>
    <w:rsid w:val="00A23451"/>
    <w:rsid w:val="00A2556D"/>
    <w:rsid w:val="00A315F8"/>
    <w:rsid w:val="00A32E3D"/>
    <w:rsid w:val="00A35CF3"/>
    <w:rsid w:val="00A36084"/>
    <w:rsid w:val="00A41E17"/>
    <w:rsid w:val="00A4517F"/>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C2B38"/>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7580"/>
    <w:rsid w:val="00BF265E"/>
    <w:rsid w:val="00BF52F8"/>
    <w:rsid w:val="00BF71A9"/>
    <w:rsid w:val="00C011FE"/>
    <w:rsid w:val="00C020C3"/>
    <w:rsid w:val="00C02836"/>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765"/>
    <w:rsid w:val="00D07860"/>
    <w:rsid w:val="00D1157C"/>
    <w:rsid w:val="00D12841"/>
    <w:rsid w:val="00D13E65"/>
    <w:rsid w:val="00D14253"/>
    <w:rsid w:val="00D1618D"/>
    <w:rsid w:val="00D232BF"/>
    <w:rsid w:val="00D272F6"/>
    <w:rsid w:val="00D27A37"/>
    <w:rsid w:val="00D30B1A"/>
    <w:rsid w:val="00D431C6"/>
    <w:rsid w:val="00D45249"/>
    <w:rsid w:val="00D536A7"/>
    <w:rsid w:val="00D54145"/>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15C3"/>
    <w:rsid w:val="00E44C23"/>
    <w:rsid w:val="00E4555E"/>
    <w:rsid w:val="00E45BD1"/>
    <w:rsid w:val="00E50A25"/>
    <w:rsid w:val="00E51152"/>
    <w:rsid w:val="00E53064"/>
    <w:rsid w:val="00E57A2F"/>
    <w:rsid w:val="00E60018"/>
    <w:rsid w:val="00E60B7B"/>
    <w:rsid w:val="00E60D9C"/>
    <w:rsid w:val="00E615FF"/>
    <w:rsid w:val="00E64B5F"/>
    <w:rsid w:val="00E6739A"/>
    <w:rsid w:val="00E71338"/>
    <w:rsid w:val="00E723BE"/>
    <w:rsid w:val="00E72D92"/>
    <w:rsid w:val="00E731A1"/>
    <w:rsid w:val="00E756F6"/>
    <w:rsid w:val="00E837FA"/>
    <w:rsid w:val="00E84D47"/>
    <w:rsid w:val="00E84EBF"/>
    <w:rsid w:val="00E85C7A"/>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E1B30"/>
    <w:rsid w:val="00EE3B2C"/>
    <w:rsid w:val="00EE6040"/>
    <w:rsid w:val="00EF0A66"/>
    <w:rsid w:val="00EF6D32"/>
    <w:rsid w:val="00EF715A"/>
    <w:rsid w:val="00F025F4"/>
    <w:rsid w:val="00F030B8"/>
    <w:rsid w:val="00F0345B"/>
    <w:rsid w:val="00F044CF"/>
    <w:rsid w:val="00F07EF0"/>
    <w:rsid w:val="00F122EB"/>
    <w:rsid w:val="00F13990"/>
    <w:rsid w:val="00F153F5"/>
    <w:rsid w:val="00F15D2D"/>
    <w:rsid w:val="00F17E9D"/>
    <w:rsid w:val="00F2321F"/>
    <w:rsid w:val="00F252C7"/>
    <w:rsid w:val="00F25371"/>
    <w:rsid w:val="00F2714B"/>
    <w:rsid w:val="00F32253"/>
    <w:rsid w:val="00F3385F"/>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о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uiPriority w:val="59"/>
    <w:rsid w:val="0063472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о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выноски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нак17,З"/>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ac">
    <w:name w:val="Абзац списку"/>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d">
    <w:name w:val="header"/>
    <w:basedOn w:val="a0"/>
    <w:link w:val="ae"/>
    <w:uiPriority w:val="99"/>
    <w:unhideWhenUsed/>
    <w:rsid w:val="0084708D"/>
    <w:pPr>
      <w:tabs>
        <w:tab w:val="center" w:pos="4677"/>
        <w:tab w:val="right" w:pos="9355"/>
      </w:tabs>
    </w:pPr>
  </w:style>
  <w:style w:type="character" w:customStyle="1" w:styleId="ae">
    <w:name w:val="Верхний колонтитул Знак"/>
    <w:link w:val="ad"/>
    <w:uiPriority w:val="99"/>
    <w:rsid w:val="0084708D"/>
    <w:rPr>
      <w:rFonts w:ascii="Times New Roman" w:eastAsia="Times New Roman" w:hAnsi="Times New Roman" w:cs="Times New Roman"/>
      <w:sz w:val="20"/>
      <w:szCs w:val="20"/>
      <w:lang w:val="uk-UA" w:eastAsia="ru-RU"/>
    </w:rPr>
  </w:style>
  <w:style w:type="paragraph" w:styleId="af">
    <w:name w:val="footer"/>
    <w:basedOn w:val="a0"/>
    <w:link w:val="af0"/>
    <w:uiPriority w:val="99"/>
    <w:unhideWhenUsed/>
    <w:rsid w:val="0084708D"/>
    <w:pPr>
      <w:tabs>
        <w:tab w:val="center" w:pos="4677"/>
        <w:tab w:val="right" w:pos="9355"/>
      </w:tabs>
    </w:pPr>
  </w:style>
  <w:style w:type="character" w:customStyle="1" w:styleId="af0">
    <w:name w:val="Нижний колонтитул Знак"/>
    <w:link w:val="af"/>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1">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2">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
    <w:basedOn w:val="a0"/>
    <w:link w:val="af3"/>
    <w:uiPriority w:val="99"/>
    <w:qFormat/>
    <w:rsid w:val="00156533"/>
    <w:pPr>
      <w:ind w:left="708"/>
    </w:pPr>
  </w:style>
  <w:style w:type="paragraph" w:styleId="af4">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2"/>
    <w:locked/>
    <w:rsid w:val="00E2660F"/>
    <w:rPr>
      <w:rFonts w:ascii="Times New Roman" w:eastAsia="Times New Roman" w:hAnsi="Times New Roman"/>
      <w:sz w:val="24"/>
      <w:szCs w:val="24"/>
      <w:lang w:eastAsia="ar-SA"/>
    </w:rPr>
  </w:style>
  <w:style w:type="paragraph" w:customStyle="1" w:styleId="12">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3">
    <w:name w:val="Без інтервалів1"/>
    <w:qFormat/>
    <w:rsid w:val="00E2660F"/>
    <w:rPr>
      <w:sz w:val="22"/>
      <w:szCs w:val="22"/>
      <w:lang w:eastAsia="en-US"/>
    </w:rPr>
  </w:style>
  <w:style w:type="character" w:customStyle="1" w:styleId="af3">
    <w:name w:val="Абзац списка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2"/>
    <w:uiPriority w:val="99"/>
    <w:locked/>
    <w:rsid w:val="00644BC8"/>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09-23-014387-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11E1F-32A3-4FCA-AF89-1FBCD1FA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3194</Words>
  <Characters>1822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Microsoft</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3</cp:revision>
  <cp:lastPrinted>2025-09-25T05:37:00Z</cp:lastPrinted>
  <dcterms:created xsi:type="dcterms:W3CDTF">2025-09-25T05:36:00Z</dcterms:created>
  <dcterms:modified xsi:type="dcterms:W3CDTF">2025-09-25T05:37:00Z</dcterms:modified>
</cp:coreProperties>
</file>