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261E4D">
        <w:rPr>
          <w:sz w:val="24"/>
          <w:szCs w:val="24"/>
          <w:u w:val="single"/>
        </w:rPr>
        <w:t>09-16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  <w:lang w:val="ru-RU"/>
        </w:rPr>
        <w:t>00</w:t>
      </w:r>
      <w:r w:rsidR="00261E4D">
        <w:rPr>
          <w:sz w:val="24"/>
          <w:szCs w:val="24"/>
          <w:u w:val="single"/>
          <w:lang w:val="ru-RU"/>
        </w:rPr>
        <w:t>1331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261E4D" w:rsidRPr="00261E4D" w:rsidRDefault="00261E4D" w:rsidP="00261E4D">
      <w:pPr>
        <w:spacing w:before="60"/>
        <w:ind w:firstLine="426"/>
        <w:jc w:val="both"/>
        <w:rPr>
          <w:sz w:val="24"/>
          <w:szCs w:val="24"/>
          <w:lang w:eastAsia="ru-RU"/>
        </w:rPr>
      </w:pPr>
      <w:r w:rsidRPr="00261E4D">
        <w:rPr>
          <w:sz w:val="24"/>
          <w:szCs w:val="24"/>
        </w:rPr>
        <w:t xml:space="preserve">Послуги доступу до мережі Інтернет на основі рухомого (мобільного) зв’язку – </w:t>
      </w:r>
      <w:r w:rsidRPr="00261E4D">
        <w:rPr>
          <w:sz w:val="24"/>
          <w:szCs w:val="24"/>
          <w:lang w:eastAsia="zh-CN"/>
        </w:rPr>
        <w:t>за кодом ДК 021:2015-</w:t>
      </w:r>
      <w:r w:rsidRPr="00261E4D">
        <w:rPr>
          <w:rFonts w:eastAsia="Calibri"/>
          <w:sz w:val="24"/>
          <w:szCs w:val="24"/>
        </w:rPr>
        <w:t>64210000-1</w:t>
      </w:r>
      <w:r w:rsidRPr="00261E4D">
        <w:rPr>
          <w:sz w:val="24"/>
          <w:szCs w:val="24"/>
          <w:lang w:eastAsia="zh-CN"/>
        </w:rPr>
        <w:t xml:space="preserve"> </w:t>
      </w:r>
      <w:r w:rsidRPr="00261E4D">
        <w:rPr>
          <w:sz w:val="24"/>
          <w:szCs w:val="24"/>
        </w:rPr>
        <w:t xml:space="preserve">– </w:t>
      </w:r>
      <w:r w:rsidRPr="00261E4D">
        <w:rPr>
          <w:sz w:val="24"/>
          <w:szCs w:val="24"/>
          <w:lang w:eastAsia="zh-CN"/>
        </w:rPr>
        <w:t>Послуги телефонного зв’язку та передачі даних</w:t>
      </w:r>
      <w:r>
        <w:rPr>
          <w:sz w:val="24"/>
          <w:szCs w:val="24"/>
          <w:lang w:eastAsia="zh-CN"/>
        </w:rPr>
        <w:t xml:space="preserve"> </w:t>
      </w:r>
      <w:r w:rsidRPr="00261E4D">
        <w:rPr>
          <w:sz w:val="24"/>
          <w:szCs w:val="24"/>
        </w:rPr>
        <w:t xml:space="preserve"> (</w:t>
      </w:r>
      <w:r w:rsidRPr="00261E4D">
        <w:rPr>
          <w:sz w:val="24"/>
          <w:szCs w:val="24"/>
          <w:lang w:eastAsia="zh-CN"/>
        </w:rPr>
        <w:t>ДК 021:2015-</w:t>
      </w:r>
      <w:r w:rsidRPr="00261E4D">
        <w:rPr>
          <w:rFonts w:eastAsia="Calibri"/>
          <w:sz w:val="24"/>
          <w:szCs w:val="24"/>
        </w:rPr>
        <w:t>64210000-1</w:t>
      </w:r>
      <w:r w:rsidRPr="00261E4D">
        <w:rPr>
          <w:sz w:val="24"/>
          <w:szCs w:val="24"/>
          <w:lang w:eastAsia="zh-CN"/>
        </w:rPr>
        <w:t xml:space="preserve"> </w:t>
      </w:r>
      <w:r w:rsidRPr="00261E4D">
        <w:rPr>
          <w:sz w:val="24"/>
          <w:szCs w:val="24"/>
        </w:rPr>
        <w:t xml:space="preserve">– </w:t>
      </w:r>
      <w:r w:rsidRPr="00261E4D">
        <w:rPr>
          <w:sz w:val="24"/>
          <w:szCs w:val="24"/>
          <w:lang w:eastAsia="zh-CN"/>
        </w:rPr>
        <w:t>Послуги телефонного зв’язку та передачі даних</w:t>
      </w:r>
      <w:r>
        <w:rPr>
          <w:sz w:val="24"/>
          <w:szCs w:val="24"/>
          <w:lang w:eastAsia="zh-CN"/>
        </w:rPr>
        <w:t xml:space="preserve"> </w:t>
      </w:r>
      <w:r w:rsidRPr="00261E4D">
        <w:rPr>
          <w:rFonts w:eastAsia="Batang"/>
          <w:sz w:val="24"/>
          <w:szCs w:val="24"/>
          <w:lang w:eastAsia="uk-UA"/>
        </w:rPr>
        <w:t>(</w:t>
      </w:r>
      <w:r w:rsidRPr="00261E4D">
        <w:rPr>
          <w:sz w:val="24"/>
          <w:szCs w:val="24"/>
        </w:rPr>
        <w:t>Послуги доступу до мережі Інтернет на основі рухомого (мобільного) зв’язку</w:t>
      </w:r>
      <w:r w:rsidRPr="00261E4D">
        <w:rPr>
          <w:rFonts w:eastAsia="Batang"/>
          <w:sz w:val="24"/>
          <w:szCs w:val="24"/>
          <w:lang w:eastAsia="uk-UA"/>
        </w:rPr>
        <w:t xml:space="preserve">)) </w:t>
      </w:r>
    </w:p>
    <w:p w:rsidR="006E157B" w:rsidRPr="00261E4D" w:rsidRDefault="006E157B" w:rsidP="00261E4D">
      <w:pPr>
        <w:jc w:val="both"/>
        <w:outlineLvl w:val="0"/>
        <w:rPr>
          <w:sz w:val="24"/>
          <w:szCs w:val="24"/>
        </w:rPr>
      </w:pPr>
    </w:p>
    <w:p w:rsidR="00261E4D" w:rsidRPr="00261E4D" w:rsidRDefault="00D56785" w:rsidP="00261E4D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ar-SA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61E4D" w:rsidRPr="00261E4D">
        <w:rPr>
          <w:rFonts w:eastAsia="Times New Roman" w:cs="Times New Roman"/>
          <w:sz w:val="26"/>
          <w:szCs w:val="26"/>
          <w:lang w:eastAsia="ar-SA"/>
        </w:rPr>
        <w:t>Для виконання митних формальностей під час митного оформлення товарів і транспортних засобів комерційного призначення застосовуються автоматизована система митного оформлення «Центр» (далі – АСМО «Центр») та електронна транзитна система. Зазначені системи відповідно до положень Митного кодексу України в автоматичному режимі, з урахуванням результатів аналізу ризиків, типу митної декларації, митного режиму, способу переміщення товарів та наявності відповідних спрощень, визначають перелік необхідних митних формальностей, а також потребу в участі посадової особи митного органу в їх виконанні.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 xml:space="preserve">Для скорочення часу проведення митного контролю та підвищення його ефективності відповідно до частини першої статті 324 Митного кодексу України використовуються технічні засоби митного контролю, зокрема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скануючі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системи мобільного типу (далі – ССМТ). На підставі результатів використання технічні засоби митного контролю, зокрема ССМТ, визначається необхідність у застосуванні окремих форм митного контролю, встановлених статтею 336 Митного кодексу України, зокрема митного огляду та їх обсягу, під час виконання митних формальностей.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 xml:space="preserve">В рамках реалізації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проєкту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Європейського Союзу «Підтримка ЄС у зміцненні інтегрованого управління кордонами в Україні – Стійкість» (далі – EU4ІВМ-Стійкість) (реєстраційна картка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проєкту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№ 5072-02) та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проєкту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міжнародної технічної допомоги: «Економічна підтримка України» (далі – USAID ERA), який фінансується Агентством Сполучених Штатів з міжнародного розвитку (реєстраційна картка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проєкту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№ 3987-26) Державна митна служба України отримала ССМТ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Rapiscan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Eagle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M60 у кількості 6 одиниць, а саме: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>EU4ІВМ-Стійкість – для міжнародних пунктів пропуску для автомобільного сполучення «Ягодин» Волинської митниці, «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Краківець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» Львівської митниці, «Чоп» Закарпатської митниці; </w:t>
      </w:r>
      <w:r w:rsidRPr="00261E4D">
        <w:rPr>
          <w:rFonts w:eastAsia="Times New Roman" w:cs="Times New Roman"/>
          <w:sz w:val="26"/>
          <w:szCs w:val="26"/>
          <w:lang w:eastAsia="ar-SA"/>
        </w:rPr>
        <w:t> 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>USAID ERA – для міжнародних пунктів пропуску для автомобільного сполучення «Ужгород» Закарпатської митниці, «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Порубне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>» Чернівецької митниці, пункт пропуску «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Орлівка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>» паромна переправа Одеської митниці.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lastRenderedPageBreak/>
        <w:t xml:space="preserve">Також, у зоні діяльності Одеської митниці використовується раніше придбані ССМТ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Rapiscan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Eagle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M4507 у кількості – 2 одиниці.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 xml:space="preserve">З метою належного виконання митних формальностей із використанням технічних засобів митного контролю відповідно до вимог Порядку виконання митних формальностей із застосуванням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скануючих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систем, затвердженого наказом Міністерства фінансів України від 18.10.2021 № 552 та зареєстрованого в Міністерстві юстиції України 14 грудня 2021 р. за № 1612/37234, необхідно забезпечити доступ з робочих місць операторів ССМТ до АСМО «Центр». Наземне підключення робочих місць операторів до локальної обчислювальної мережі пункту пропуску технічно не можливо у зв’язку із рухомістю ССМТ під час роботи. 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lang w:eastAsia="ar-SA"/>
        </w:rPr>
        <w:t xml:space="preserve">Доступ операторів ССМТ до АСМО «Центр» забезпечується шляхом організації захищеного віддаленого підключення через мережу Інтернет виключно з робочих місць операторів, які розміщені в цих </w:t>
      </w:r>
      <w:proofErr w:type="spellStart"/>
      <w:r w:rsidRPr="00261E4D">
        <w:rPr>
          <w:rFonts w:eastAsia="Times New Roman" w:cs="Times New Roman"/>
          <w:sz w:val="26"/>
          <w:szCs w:val="26"/>
          <w:lang w:eastAsia="ar-SA"/>
        </w:rPr>
        <w:t>скануючих</w:t>
      </w:r>
      <w:proofErr w:type="spellEnd"/>
      <w:r w:rsidRPr="00261E4D">
        <w:rPr>
          <w:rFonts w:eastAsia="Times New Roman" w:cs="Times New Roman"/>
          <w:sz w:val="26"/>
          <w:szCs w:val="26"/>
          <w:lang w:eastAsia="ar-SA"/>
        </w:rPr>
        <w:t xml:space="preserve"> системах та регламентовано пунктом 2.5 Порядку віддаленого доступу до інформації в інформаційних, електронних комунікаційних та інформаційно-комунікаційних системах Державної митної служби України, затвердженого наказом Державної митної служби України від 28.12.2022 № 568 (зі змінами)). Технічний аспект реалізації – наявність вбудованого LTE-модуля в маршрутизаторі з комплекту ССМТ. </w:t>
      </w:r>
    </w:p>
    <w:p w:rsidR="00261E4D" w:rsidRPr="00261E4D" w:rsidRDefault="00261E4D" w:rsidP="00261E4D">
      <w:pPr>
        <w:tabs>
          <w:tab w:val="left" w:pos="0"/>
          <w:tab w:val="left" w:pos="993"/>
        </w:tabs>
        <w:ind w:firstLine="567"/>
        <w:contextualSpacing/>
        <w:jc w:val="both"/>
        <w:rPr>
          <w:rFonts w:eastAsia="Times New Roman" w:cs="Times New Roman"/>
          <w:b/>
          <w:sz w:val="26"/>
          <w:szCs w:val="26"/>
          <w:u w:val="single"/>
          <w:lang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261E4D" w:rsidRPr="00261E4D" w:rsidRDefault="00261E4D" w:rsidP="00261E4D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>Обсяги закупівлі визначені відповідно до наявної потреби Державної митної служби України необхідної для забезпечення належного функціонування ССМТ, а саме:</w:t>
      </w:r>
    </w:p>
    <w:p w:rsidR="00261E4D" w:rsidRPr="00261E4D" w:rsidRDefault="00261E4D" w:rsidP="00261E4D">
      <w:pPr>
        <w:ind w:left="720"/>
        <w:contextualSpacing/>
        <w:rPr>
          <w:rFonts w:eastAsia="Times New Roman" w:cs="Times New Roman"/>
          <w:b/>
          <w:sz w:val="26"/>
          <w:szCs w:val="26"/>
          <w:lang w:eastAsia="ru-RU"/>
        </w:rPr>
      </w:pPr>
    </w:p>
    <w:tbl>
      <w:tblPr>
        <w:tblStyle w:val="13"/>
        <w:tblW w:w="9493" w:type="dxa"/>
        <w:tblInd w:w="0" w:type="dxa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418"/>
      </w:tblGrid>
      <w:tr w:rsidR="00261E4D" w:rsidRPr="00261E4D" w:rsidTr="00261E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Найменування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Кіль-</w:t>
            </w:r>
          </w:p>
          <w:p w:rsidR="00261E4D" w:rsidRPr="00261E4D" w:rsidRDefault="00261E4D" w:rsidP="00261E4D">
            <w:pPr>
              <w:tabs>
                <w:tab w:val="left" w:pos="9639"/>
              </w:tabs>
              <w:suppressAutoHyphens/>
              <w:jc w:val="center"/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iCs/>
                <w:color w:val="000000"/>
                <w:sz w:val="26"/>
                <w:szCs w:val="26"/>
                <w:lang w:eastAsia="ar-SA"/>
              </w:rPr>
              <w:t>кість</w:t>
            </w:r>
          </w:p>
        </w:tc>
      </w:tr>
      <w:tr w:rsidR="00261E4D" w:rsidRPr="00261E4D" w:rsidTr="00261E4D">
        <w:trPr>
          <w:trHeight w:val="7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spacing w:after="120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ind w:left="-43" w:right="-68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61E4D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послуги доступу до мережі Інтернет на основі рухомого (мобільного) зв’язку (для 8 ССМТ)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місяці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4D" w:rsidRPr="00261E4D" w:rsidRDefault="00261E4D" w:rsidP="00261E4D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rFonts w:eastAsia="Times New Roman"/>
                <w:color w:val="000000"/>
                <w:sz w:val="26"/>
                <w:szCs w:val="26"/>
                <w:lang w:eastAsia="ar-SA"/>
              </w:rPr>
            </w:pPr>
            <w:r w:rsidRPr="00261E4D">
              <w:rPr>
                <w:rFonts w:eastAsia="Times New Roman"/>
                <w:color w:val="000000"/>
                <w:sz w:val="26"/>
                <w:szCs w:val="26"/>
                <w:lang w:eastAsia="ar-SA"/>
              </w:rPr>
              <w:t>3</w:t>
            </w:r>
          </w:p>
        </w:tc>
      </w:tr>
    </w:tbl>
    <w:p w:rsidR="00261E4D" w:rsidRPr="00261E4D" w:rsidRDefault="00261E4D" w:rsidP="00261E4D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61E4D" w:rsidRPr="00261E4D" w:rsidRDefault="00261E4D" w:rsidP="00261E4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val="x-none" w:eastAsia="ru-RU"/>
        </w:rPr>
        <w:t>Обґрунтування технічних та якісних характеристик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 w:rsidRPr="00261E4D">
        <w:rPr>
          <w:rFonts w:eastAsia="Times New Roman" w:cs="Times New Roman"/>
          <w:sz w:val="26"/>
          <w:szCs w:val="26"/>
          <w:lang w:eastAsia="ru-RU"/>
        </w:rPr>
        <w:t>3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до </w:t>
      </w:r>
      <w:r w:rsidRPr="00261E4D">
        <w:rPr>
          <w:rFonts w:eastAsia="Times New Roman" w:cs="Times New Roman"/>
          <w:sz w:val="26"/>
          <w:szCs w:val="26"/>
          <w:lang w:eastAsia="ru-RU"/>
        </w:rPr>
        <w:t>Заявки</w:t>
      </w:r>
      <w:r w:rsidRPr="00261E4D">
        <w:rPr>
          <w:rFonts w:eastAsia="Times New Roman" w:cs="Times New Roman"/>
          <w:sz w:val="26"/>
          <w:szCs w:val="26"/>
          <w:lang w:val="x-none" w:eastAsia="ru-RU"/>
        </w:rPr>
        <w:t>.</w:t>
      </w:r>
    </w:p>
    <w:p w:rsidR="00261E4D" w:rsidRPr="00261E4D" w:rsidRDefault="00261E4D" w:rsidP="00261E4D">
      <w:pPr>
        <w:keepNext/>
        <w:tabs>
          <w:tab w:val="left" w:pos="708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Очікувані результати: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забезпечено належне виконання митних формальностей із використанням технічних засобів митного контролю відповідно до вимог Порядку виконання митних формальностей із застосуванням </w:t>
      </w:r>
      <w:proofErr w:type="spellStart"/>
      <w:r w:rsidRPr="00261E4D">
        <w:rPr>
          <w:rFonts w:eastAsia="Times New Roman" w:cs="Times New Roman"/>
          <w:sz w:val="26"/>
          <w:szCs w:val="26"/>
          <w:lang w:eastAsia="ru-RU"/>
        </w:rPr>
        <w:t>скануючих</w:t>
      </w:r>
      <w:proofErr w:type="spellEnd"/>
      <w:r w:rsidRPr="00261E4D">
        <w:rPr>
          <w:rFonts w:eastAsia="Times New Roman" w:cs="Times New Roman"/>
          <w:sz w:val="26"/>
          <w:szCs w:val="26"/>
          <w:lang w:eastAsia="ru-RU"/>
        </w:rPr>
        <w:t xml:space="preserve"> систем</w:t>
      </w:r>
      <w:r w:rsidRPr="00261E4D">
        <w:rPr>
          <w:rFonts w:eastAsia="Times New Roman" w:cs="Times New Roman"/>
          <w:sz w:val="26"/>
          <w:szCs w:val="26"/>
          <w:lang w:val="x-none" w:eastAsia="ar-SA"/>
        </w:rPr>
        <w:t>.</w:t>
      </w:r>
    </w:p>
    <w:p w:rsidR="00261E4D" w:rsidRPr="00261E4D" w:rsidRDefault="00261E4D" w:rsidP="00261E4D">
      <w:pPr>
        <w:keepNext/>
        <w:tabs>
          <w:tab w:val="left" w:pos="708"/>
        </w:tabs>
        <w:ind w:left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61E4D" w:rsidRPr="00261E4D" w:rsidRDefault="00261E4D" w:rsidP="00261E4D">
      <w:pPr>
        <w:widowControl w:val="0"/>
        <w:tabs>
          <w:tab w:val="left" w:pos="708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бюджетного призначення та/або очікуваної вартості предмета закупівлі: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8 400,00 грн. Розрахунок очікуваної вартості закупівлі послуг доступу до мережі Інтернет на основі рухомого (мобільного) зв’язку </w:t>
      </w:r>
      <w:r w:rsidRPr="00261E4D">
        <w:rPr>
          <w:rFonts w:eastAsia="Times New Roman" w:cs="Times New Roman"/>
          <w:bCs/>
          <w:sz w:val="26"/>
          <w:szCs w:val="26"/>
          <w:lang w:eastAsia="ru-RU"/>
        </w:rPr>
        <w:t>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</w:r>
      <w:r w:rsidRPr="00261E4D">
        <w:rPr>
          <w:rFonts w:eastAsia="Times New Roman" w:cs="Times New Roman"/>
          <w:bCs/>
          <w:sz w:val="26"/>
          <w:szCs w:val="26"/>
          <w:lang w:val="en-US" w:eastAsia="ru-RU"/>
        </w:rPr>
        <w:t> </w:t>
      </w:r>
      <w:r w:rsidRPr="00261E4D">
        <w:rPr>
          <w:rFonts w:eastAsia="Times New Roman" w:cs="Times New Roman"/>
          <w:bCs/>
          <w:sz w:val="26"/>
          <w:szCs w:val="26"/>
          <w:lang w:eastAsia="ru-RU"/>
        </w:rPr>
        <w:t>275, а саме на підставі проведеного аналізу цін на аналогічні за технічними характеристиками послуги в мережі Інтернет.</w:t>
      </w:r>
    </w:p>
    <w:p w:rsidR="00261E4D" w:rsidRPr="00261E4D" w:rsidRDefault="00261E4D" w:rsidP="00261E4D">
      <w:pPr>
        <w:keepNext/>
        <w:tabs>
          <w:tab w:val="left" w:pos="708"/>
        </w:tabs>
        <w:ind w:left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14357" w:rsidRPr="00092F91" w:rsidRDefault="00F14357" w:rsidP="00261E4D">
      <w:pPr>
        <w:tabs>
          <w:tab w:val="left" w:pos="9639"/>
        </w:tabs>
        <w:ind w:firstLine="567"/>
        <w:jc w:val="both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75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3111"/>
    <w:rsid w:val="001463DB"/>
    <w:rsid w:val="00146928"/>
    <w:rsid w:val="0022794A"/>
    <w:rsid w:val="00261E4D"/>
    <w:rsid w:val="00307378"/>
    <w:rsid w:val="0033663D"/>
    <w:rsid w:val="00402568"/>
    <w:rsid w:val="00464A76"/>
    <w:rsid w:val="00534801"/>
    <w:rsid w:val="005527AD"/>
    <w:rsid w:val="0055505C"/>
    <w:rsid w:val="00586190"/>
    <w:rsid w:val="00654674"/>
    <w:rsid w:val="006D04CB"/>
    <w:rsid w:val="006E157B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72D90"/>
    <w:rsid w:val="00984C2C"/>
    <w:rsid w:val="009B5358"/>
    <w:rsid w:val="009B6ECD"/>
    <w:rsid w:val="00A13F0A"/>
    <w:rsid w:val="00A238BF"/>
    <w:rsid w:val="00A73625"/>
    <w:rsid w:val="00B24970"/>
    <w:rsid w:val="00BC2816"/>
    <w:rsid w:val="00C0074F"/>
    <w:rsid w:val="00CA2875"/>
    <w:rsid w:val="00D5678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729</Words>
  <Characters>5255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50</cp:revision>
  <cp:lastPrinted>2025-09-16T07:11:00Z</cp:lastPrinted>
  <dcterms:created xsi:type="dcterms:W3CDTF">2024-04-11T08:32:00Z</dcterms:created>
  <dcterms:modified xsi:type="dcterms:W3CDTF">2025-09-16T07:12:00Z</dcterms:modified>
</cp:coreProperties>
</file>