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142A4A">
        <w:rPr>
          <w:sz w:val="24"/>
          <w:szCs w:val="24"/>
          <w:u w:val="single"/>
          <w:lang w:val="en-US"/>
        </w:rPr>
        <w:t>UA</w:t>
      </w:r>
      <w:r w:rsidRPr="00142A4A">
        <w:rPr>
          <w:sz w:val="24"/>
          <w:szCs w:val="24"/>
          <w:u w:val="single"/>
          <w:lang w:val="ru-RU"/>
        </w:rPr>
        <w:t>-202</w:t>
      </w:r>
      <w:r w:rsidR="00307378" w:rsidRPr="00142A4A">
        <w:rPr>
          <w:sz w:val="24"/>
          <w:szCs w:val="24"/>
          <w:u w:val="single"/>
          <w:lang w:val="ru-RU"/>
        </w:rPr>
        <w:t>5</w:t>
      </w:r>
      <w:r w:rsidRPr="00142A4A">
        <w:rPr>
          <w:sz w:val="24"/>
          <w:szCs w:val="24"/>
          <w:u w:val="single"/>
          <w:lang w:val="ru-RU"/>
        </w:rPr>
        <w:t>-</w:t>
      </w:r>
      <w:r w:rsidR="00142A4A" w:rsidRPr="00142A4A">
        <w:rPr>
          <w:sz w:val="24"/>
          <w:szCs w:val="24"/>
          <w:u w:val="single"/>
        </w:rPr>
        <w:t>10</w:t>
      </w:r>
      <w:r w:rsidR="00261E4D" w:rsidRPr="00142A4A">
        <w:rPr>
          <w:sz w:val="24"/>
          <w:szCs w:val="24"/>
          <w:u w:val="single"/>
        </w:rPr>
        <w:t>-1</w:t>
      </w:r>
      <w:r w:rsidR="00142A4A" w:rsidRPr="00142A4A">
        <w:rPr>
          <w:sz w:val="24"/>
          <w:szCs w:val="24"/>
          <w:u w:val="single"/>
        </w:rPr>
        <w:t>4</w:t>
      </w:r>
      <w:r w:rsidRPr="00142A4A">
        <w:rPr>
          <w:sz w:val="24"/>
          <w:szCs w:val="24"/>
          <w:u w:val="single"/>
          <w:lang w:val="ru-RU"/>
        </w:rPr>
        <w:t>-</w:t>
      </w:r>
      <w:r w:rsidR="006E157B" w:rsidRPr="00142A4A">
        <w:rPr>
          <w:sz w:val="24"/>
          <w:szCs w:val="24"/>
          <w:u w:val="single"/>
          <w:lang w:val="ru-RU"/>
        </w:rPr>
        <w:t>00</w:t>
      </w:r>
      <w:r w:rsidR="00142A4A" w:rsidRPr="00142A4A">
        <w:rPr>
          <w:sz w:val="24"/>
          <w:szCs w:val="24"/>
          <w:u w:val="single"/>
          <w:lang w:val="ru-RU"/>
        </w:rPr>
        <w:t>4625</w:t>
      </w:r>
      <w:r w:rsidRPr="00142A4A">
        <w:rPr>
          <w:sz w:val="24"/>
          <w:szCs w:val="24"/>
          <w:u w:val="single"/>
          <w:lang w:val="ru-RU"/>
        </w:rPr>
        <w:t>-</w:t>
      </w:r>
      <w:r w:rsidRPr="00142A4A">
        <w:rPr>
          <w:sz w:val="24"/>
          <w:szCs w:val="24"/>
          <w:u w:val="single"/>
          <w:lang w:val="en-US"/>
        </w:rPr>
        <w:t>a</w:t>
      </w:r>
      <w:r w:rsidRPr="00142A4A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6E157B" w:rsidRPr="00261E4D" w:rsidRDefault="00F70768" w:rsidP="00F70768">
      <w:pPr>
        <w:ind w:firstLine="426"/>
        <w:jc w:val="both"/>
        <w:outlineLvl w:val="0"/>
        <w:rPr>
          <w:sz w:val="24"/>
          <w:szCs w:val="24"/>
        </w:rPr>
      </w:pPr>
      <w:r w:rsidRPr="00F70768">
        <w:rPr>
          <w:sz w:val="24"/>
          <w:szCs w:val="24"/>
        </w:rPr>
        <w:t>послуги з постачання програмної продукції для виявлення та запобігання вторгнень (</w:t>
      </w:r>
      <w:proofErr w:type="spellStart"/>
      <w:r w:rsidRPr="00F70768">
        <w:rPr>
          <w:sz w:val="24"/>
          <w:szCs w:val="24"/>
        </w:rPr>
        <w:t>Intrusion</w:t>
      </w:r>
      <w:proofErr w:type="spellEnd"/>
      <w:r w:rsidRPr="00F70768">
        <w:rPr>
          <w:sz w:val="24"/>
          <w:szCs w:val="24"/>
        </w:rPr>
        <w:t xml:space="preserve"> </w:t>
      </w:r>
      <w:proofErr w:type="spellStart"/>
      <w:r w:rsidRPr="00F70768">
        <w:rPr>
          <w:sz w:val="24"/>
          <w:szCs w:val="24"/>
        </w:rPr>
        <w:t>Detection</w:t>
      </w:r>
      <w:proofErr w:type="spellEnd"/>
      <w:r w:rsidRPr="00F70768">
        <w:rPr>
          <w:sz w:val="24"/>
          <w:szCs w:val="24"/>
        </w:rPr>
        <w:t xml:space="preserve"> </w:t>
      </w:r>
      <w:proofErr w:type="spellStart"/>
      <w:r w:rsidRPr="00F70768">
        <w:rPr>
          <w:sz w:val="24"/>
          <w:szCs w:val="24"/>
        </w:rPr>
        <w:t>System</w:t>
      </w:r>
      <w:proofErr w:type="spellEnd"/>
      <w:r w:rsidRPr="00F70768">
        <w:rPr>
          <w:sz w:val="24"/>
          <w:szCs w:val="24"/>
        </w:rPr>
        <w:t xml:space="preserve"> (IDS)/ </w:t>
      </w:r>
      <w:proofErr w:type="spellStart"/>
      <w:r w:rsidRPr="00F70768">
        <w:rPr>
          <w:sz w:val="24"/>
          <w:szCs w:val="24"/>
        </w:rPr>
        <w:t>Intrusion</w:t>
      </w:r>
      <w:proofErr w:type="spellEnd"/>
      <w:r w:rsidRPr="00F70768">
        <w:rPr>
          <w:sz w:val="24"/>
          <w:szCs w:val="24"/>
        </w:rPr>
        <w:t xml:space="preserve"> </w:t>
      </w:r>
      <w:proofErr w:type="spellStart"/>
      <w:r w:rsidRPr="00F70768">
        <w:rPr>
          <w:sz w:val="24"/>
          <w:szCs w:val="24"/>
        </w:rPr>
        <w:t>Prevention</w:t>
      </w:r>
      <w:proofErr w:type="spellEnd"/>
      <w:r w:rsidRPr="00F70768">
        <w:rPr>
          <w:sz w:val="24"/>
          <w:szCs w:val="24"/>
        </w:rPr>
        <w:t xml:space="preserve"> </w:t>
      </w:r>
      <w:proofErr w:type="spellStart"/>
      <w:r w:rsidRPr="00F70768">
        <w:rPr>
          <w:sz w:val="24"/>
          <w:szCs w:val="24"/>
        </w:rPr>
        <w:t>System</w:t>
      </w:r>
      <w:proofErr w:type="spellEnd"/>
      <w:r w:rsidRPr="00F70768">
        <w:rPr>
          <w:sz w:val="24"/>
          <w:szCs w:val="24"/>
        </w:rPr>
        <w:t xml:space="preserve"> (IPS)) за кодом ДК 021:2015-72260000-5 (послуги, пов’язані з програмним забезпеченням)</w:t>
      </w:r>
      <w:r>
        <w:rPr>
          <w:sz w:val="24"/>
          <w:szCs w:val="24"/>
        </w:rPr>
        <w:t>.</w:t>
      </w:r>
    </w:p>
    <w:p w:rsidR="00F70768" w:rsidRDefault="00D56785" w:rsidP="00F70768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ar-SA"/>
        </w:rPr>
      </w:pPr>
      <w:r>
        <w:rPr>
          <w:rFonts w:cs="Times New Roman"/>
          <w:sz w:val="24"/>
          <w:szCs w:val="24"/>
        </w:rPr>
        <w:t>2.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 xml:space="preserve"> Обґрунтування доцільності закупівлі:</w:t>
      </w:r>
      <w:r w:rsidR="00261E4D"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70768">
        <w:rPr>
          <w:sz w:val="26"/>
          <w:szCs w:val="26"/>
          <w:lang w:eastAsia="ar-SA"/>
        </w:rPr>
        <w:t xml:space="preserve">Пунктом 26 Переліку базових вимог із забезпечення </w:t>
      </w:r>
      <w:proofErr w:type="spellStart"/>
      <w:r w:rsidR="00F70768">
        <w:rPr>
          <w:sz w:val="26"/>
          <w:szCs w:val="26"/>
          <w:lang w:eastAsia="ar-SA"/>
        </w:rPr>
        <w:t>кіберзахисту</w:t>
      </w:r>
      <w:proofErr w:type="spellEnd"/>
      <w:r w:rsidR="00F70768">
        <w:rPr>
          <w:sz w:val="26"/>
          <w:szCs w:val="26"/>
          <w:lang w:eastAsia="ar-SA"/>
        </w:rPr>
        <w:t xml:space="preserve"> об’єктів критичної інфраструктури, затвердженого постановою Кабінету Міністрів України від 19 червня 2019 р. № 518 «Про затвердження Загальних вимог до </w:t>
      </w:r>
      <w:proofErr w:type="spellStart"/>
      <w:r w:rsidR="00F70768">
        <w:rPr>
          <w:sz w:val="26"/>
          <w:szCs w:val="26"/>
          <w:lang w:eastAsia="ar-SA"/>
        </w:rPr>
        <w:t>кіберзахисту</w:t>
      </w:r>
      <w:proofErr w:type="spellEnd"/>
      <w:r w:rsidR="00F70768">
        <w:rPr>
          <w:sz w:val="26"/>
          <w:szCs w:val="26"/>
          <w:lang w:eastAsia="ar-SA"/>
        </w:rPr>
        <w:t xml:space="preserve"> об’єктів критичної інфраструктури» (далі – Загальні вимоги) встановлено, що у разі неможливості фізичного розділення зовнішньої мережі та об’єкта критичної інформаційної інфраструктури об’єкта критичної інфраструктури на межі (периметрі) між зовнішніми мережами, іншими інформаційно-комунікаційними системами, що обслуговують об’єкт критичної інфраструктури, та об’єктом критичної інформаційної інфраструктури об’єкта критичної інфраструктури повинні бути встановлені засоби мережевого захисту, що виконують функцію виявлення та запобігання атакам та вторгненням (</w:t>
      </w:r>
      <w:proofErr w:type="spellStart"/>
      <w:r w:rsidR="00F70768">
        <w:rPr>
          <w:sz w:val="26"/>
          <w:szCs w:val="26"/>
          <w:lang w:eastAsia="ar-SA"/>
        </w:rPr>
        <w:t>Intrusion</w:t>
      </w:r>
      <w:proofErr w:type="spellEnd"/>
      <w:r w:rsidR="00F70768">
        <w:rPr>
          <w:sz w:val="26"/>
          <w:szCs w:val="26"/>
          <w:lang w:eastAsia="ar-SA"/>
        </w:rPr>
        <w:t xml:space="preserve"> </w:t>
      </w:r>
      <w:proofErr w:type="spellStart"/>
      <w:r w:rsidR="00F70768">
        <w:rPr>
          <w:sz w:val="26"/>
          <w:szCs w:val="26"/>
          <w:lang w:eastAsia="ar-SA"/>
        </w:rPr>
        <w:t>Detection</w:t>
      </w:r>
      <w:proofErr w:type="spellEnd"/>
      <w:r w:rsidR="00F70768">
        <w:rPr>
          <w:sz w:val="26"/>
          <w:szCs w:val="26"/>
          <w:lang w:eastAsia="ar-SA"/>
        </w:rPr>
        <w:t xml:space="preserve"> </w:t>
      </w:r>
      <w:proofErr w:type="spellStart"/>
      <w:r w:rsidR="00F70768">
        <w:rPr>
          <w:sz w:val="26"/>
          <w:szCs w:val="26"/>
          <w:lang w:eastAsia="ar-SA"/>
        </w:rPr>
        <w:t>System</w:t>
      </w:r>
      <w:proofErr w:type="spellEnd"/>
      <w:r w:rsidR="00F70768">
        <w:rPr>
          <w:sz w:val="26"/>
          <w:szCs w:val="26"/>
          <w:lang w:eastAsia="ar-SA"/>
        </w:rPr>
        <w:t xml:space="preserve"> / </w:t>
      </w:r>
      <w:proofErr w:type="spellStart"/>
      <w:r w:rsidR="00F70768">
        <w:rPr>
          <w:sz w:val="26"/>
          <w:szCs w:val="26"/>
          <w:lang w:eastAsia="ar-SA"/>
        </w:rPr>
        <w:t>Intrusion</w:t>
      </w:r>
      <w:proofErr w:type="spellEnd"/>
      <w:r w:rsidR="00F70768">
        <w:rPr>
          <w:sz w:val="26"/>
          <w:szCs w:val="26"/>
          <w:lang w:eastAsia="ar-SA"/>
        </w:rPr>
        <w:t xml:space="preserve"> </w:t>
      </w:r>
      <w:proofErr w:type="spellStart"/>
      <w:r w:rsidR="00F70768">
        <w:rPr>
          <w:sz w:val="26"/>
          <w:szCs w:val="26"/>
          <w:lang w:eastAsia="ar-SA"/>
        </w:rPr>
        <w:t>Prevention</w:t>
      </w:r>
      <w:proofErr w:type="spellEnd"/>
      <w:r w:rsidR="00F70768">
        <w:rPr>
          <w:sz w:val="26"/>
          <w:szCs w:val="26"/>
          <w:lang w:eastAsia="ar-SA"/>
        </w:rPr>
        <w:t xml:space="preserve"> </w:t>
      </w:r>
      <w:proofErr w:type="spellStart"/>
      <w:r w:rsidR="00F70768">
        <w:rPr>
          <w:sz w:val="26"/>
          <w:szCs w:val="26"/>
          <w:lang w:eastAsia="ar-SA"/>
        </w:rPr>
        <w:t>System</w:t>
      </w:r>
      <w:proofErr w:type="spellEnd"/>
      <w:r w:rsidR="00F70768">
        <w:rPr>
          <w:sz w:val="26"/>
          <w:szCs w:val="26"/>
          <w:lang w:eastAsia="ar-SA"/>
        </w:rPr>
        <w:t>, далі – IDS/IPS).</w:t>
      </w:r>
    </w:p>
    <w:p w:rsidR="00F70768" w:rsidRDefault="00F70768" w:rsidP="00F70768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Також, рішення IDS/IPS відноситься базових засобів захисту інформації (SI-4) згідно НД ТЗІ 3.6-0006-24 «Порядок вибору захисту інформації, вимога щодо захисту якої встановлена законом та не становить державної таємниці, для інформаційних систем» та є механізмом реалізації пункту 82 Базового профілю безпеки системи, де обробляється відкрита або конфіденційна інформація, затвердженого наказом Адміністрації </w:t>
      </w:r>
      <w:proofErr w:type="spellStart"/>
      <w:r>
        <w:rPr>
          <w:sz w:val="26"/>
          <w:szCs w:val="26"/>
          <w:lang w:eastAsia="ar-SA"/>
        </w:rPr>
        <w:t>Держспецзв’язку</w:t>
      </w:r>
      <w:proofErr w:type="spellEnd"/>
      <w:r>
        <w:rPr>
          <w:sz w:val="26"/>
          <w:szCs w:val="26"/>
          <w:lang w:eastAsia="ar-SA"/>
        </w:rPr>
        <w:t xml:space="preserve"> від 30.06.2025 № 409 (далі – Базовий профіль безпеки системи).</w:t>
      </w:r>
    </w:p>
    <w:p w:rsidR="00F70768" w:rsidRDefault="00F70768" w:rsidP="00F70768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Завдяки можливості безперервного моніторингу та аналізу мережевого трафіка рішення IDS/ IPS забезпечують виявлення аномальної активності, несанкціонованих підключень та інших загроз, що становлять небезпеку для цілісності, доступності й конфіденційності інформації. Вони відповідають передовим міжнародним практикам та стандартам інформаційної безпеки (ISO/IEC 27001, NIST), інтегруючи вимоги превентивного захисту та реагування на інциденти. Ці рішення не лише відповідають нормативно-правовим актам, а й виконують функцію активного моніторингу, аналізу і протидії загрозам, що робить їх ключовим елементом архітектури </w:t>
      </w:r>
      <w:proofErr w:type="spellStart"/>
      <w:r>
        <w:rPr>
          <w:sz w:val="26"/>
          <w:szCs w:val="26"/>
          <w:lang w:eastAsia="ar-SA"/>
        </w:rPr>
        <w:t>кіберзахисту</w:t>
      </w:r>
      <w:proofErr w:type="spellEnd"/>
      <w:r>
        <w:rPr>
          <w:sz w:val="26"/>
          <w:szCs w:val="26"/>
          <w:lang w:eastAsia="ar-SA"/>
        </w:rPr>
        <w:t xml:space="preserve"> об’єктів критичної інфраструктури, що забезпечить належний рівень стійкості й захищеності інформаційних систем Держмитслужби.</w:t>
      </w:r>
    </w:p>
    <w:p w:rsidR="00F70768" w:rsidRDefault="00F70768" w:rsidP="00F70768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ar-SA"/>
        </w:rPr>
      </w:pPr>
    </w:p>
    <w:p w:rsidR="00261E4D" w:rsidRPr="00261E4D" w:rsidRDefault="00F70768" w:rsidP="00F70768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b/>
          <w:sz w:val="26"/>
          <w:szCs w:val="26"/>
          <w:u w:val="single"/>
          <w:lang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3.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обсягів закупівлі:</w:t>
      </w:r>
    </w:p>
    <w:p w:rsidR="00F70768" w:rsidRPr="00F70768" w:rsidRDefault="00F70768" w:rsidP="00F70768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7076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Обсяги закупівлі визначені відповідно до наявної потреби Державної митної служби України </w:t>
      </w:r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>послуг з постачання програмно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ї</w:t>
      </w:r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 xml:space="preserve"> продук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ції</w:t>
      </w:r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 xml:space="preserve"> для виявлення та запобігання вторгнень (</w:t>
      </w:r>
      <w:proofErr w:type="spellStart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>Intrusion</w:t>
      </w:r>
      <w:proofErr w:type="spellEnd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 xml:space="preserve"> </w:t>
      </w:r>
      <w:proofErr w:type="spellStart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>Detection</w:t>
      </w:r>
      <w:proofErr w:type="spellEnd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 xml:space="preserve"> </w:t>
      </w:r>
      <w:proofErr w:type="spellStart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>System</w:t>
      </w:r>
      <w:proofErr w:type="spellEnd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> (IDS)/ </w:t>
      </w:r>
      <w:proofErr w:type="spellStart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>Intrusion</w:t>
      </w:r>
      <w:proofErr w:type="spellEnd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 xml:space="preserve"> </w:t>
      </w:r>
      <w:proofErr w:type="spellStart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>Prevention</w:t>
      </w:r>
      <w:proofErr w:type="spellEnd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 xml:space="preserve"> </w:t>
      </w:r>
      <w:proofErr w:type="spellStart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>System</w:t>
      </w:r>
      <w:proofErr w:type="spellEnd"/>
      <w:r w:rsidRPr="00F70768">
        <w:rPr>
          <w:rFonts w:eastAsia="Times New Roman" w:cs="Times New Roman"/>
          <w:color w:val="000000"/>
          <w:sz w:val="26"/>
          <w:szCs w:val="26"/>
          <w:lang w:val="x-none" w:eastAsia="ru-RU"/>
        </w:rPr>
        <w:t> (IPS)/ )</w:t>
      </w:r>
      <w:r w:rsidRPr="00F70768">
        <w:rPr>
          <w:rFonts w:eastAsia="Times New Roman" w:cs="Times New Roman"/>
          <w:sz w:val="26"/>
          <w:szCs w:val="26"/>
          <w:lang w:eastAsia="ru-RU"/>
        </w:rPr>
        <w:t>, а саме:</w:t>
      </w:r>
    </w:p>
    <w:p w:rsidR="00F70768" w:rsidRPr="00F70768" w:rsidRDefault="00F70768" w:rsidP="00F70768">
      <w:pPr>
        <w:ind w:left="720"/>
        <w:contextualSpacing/>
        <w:rPr>
          <w:rFonts w:eastAsia="Times New Roman" w:cs="Times New Roman"/>
          <w:b/>
          <w:sz w:val="26"/>
          <w:szCs w:val="26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048"/>
        <w:gridCol w:w="997"/>
        <w:gridCol w:w="1060"/>
        <w:gridCol w:w="1061"/>
        <w:gridCol w:w="851"/>
      </w:tblGrid>
      <w:tr w:rsidR="00F70768" w:rsidRPr="00F70768" w:rsidTr="00F7076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№ з/п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70768" w:rsidRPr="00F70768" w:rsidRDefault="00F70768" w:rsidP="00F70768">
            <w:pPr>
              <w:keepNext/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Найменування Послуг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8" w:rsidRPr="00F70768" w:rsidRDefault="00F70768" w:rsidP="00F70768">
            <w:pPr>
              <w:keepNext/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Код виробника</w:t>
            </w:r>
          </w:p>
          <w:p w:rsidR="00F70768" w:rsidRPr="00F70768" w:rsidRDefault="00F70768" w:rsidP="00F70768">
            <w:pPr>
              <w:keepNext/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ліцензії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8" w:rsidRPr="00F70768" w:rsidRDefault="00F70768" w:rsidP="00F70768">
            <w:pPr>
              <w:keepNext/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Строк дії (міс.)</w:t>
            </w:r>
          </w:p>
          <w:p w:rsidR="00F70768" w:rsidRPr="00F70768" w:rsidRDefault="00F70768" w:rsidP="00F70768">
            <w:pPr>
              <w:keepNext/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ліцензії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70768" w:rsidRPr="00F70768" w:rsidRDefault="00F70768" w:rsidP="00F70768">
            <w:pPr>
              <w:keepNext/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Одиниця виміру</w:t>
            </w:r>
          </w:p>
          <w:p w:rsidR="00F70768" w:rsidRPr="00F70768" w:rsidRDefault="00F70768" w:rsidP="00F70768">
            <w:pPr>
              <w:keepNext/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iCs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ліцензії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70768" w:rsidRPr="00F70768" w:rsidRDefault="00F70768" w:rsidP="00F70768">
            <w:pPr>
              <w:keepNext/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Кіль-</w:t>
            </w:r>
          </w:p>
          <w:p w:rsidR="00F70768" w:rsidRPr="00F70768" w:rsidRDefault="00F70768" w:rsidP="00F70768">
            <w:pPr>
              <w:keepNext/>
              <w:tabs>
                <w:tab w:val="left" w:pos="9639"/>
              </w:tabs>
              <w:suppressAutoHyphens/>
              <w:spacing w:line="254" w:lineRule="auto"/>
              <w:jc w:val="center"/>
              <w:rPr>
                <w:rFonts w:eastAsia="Times New Roman" w:cs="Times New Roman"/>
                <w:b/>
                <w:iCs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b/>
                <w:bCs/>
                <w:iCs/>
                <w:color w:val="000000"/>
                <w:sz w:val="22"/>
                <w:lang w:eastAsia="ar-SA"/>
              </w:rPr>
              <w:t>кість</w:t>
            </w:r>
          </w:p>
        </w:tc>
      </w:tr>
      <w:tr w:rsidR="00F70768" w:rsidRPr="00F70768" w:rsidTr="00F70768">
        <w:trPr>
          <w:cantSplit/>
          <w:trHeight w:val="29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after="120" w:line="254" w:lineRule="auto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color w:val="000000"/>
                <w:sz w:val="22"/>
                <w:lang w:eastAsia="ar-SA"/>
              </w:rPr>
              <w:t>1.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8" w:rsidRPr="00F70768" w:rsidRDefault="00F70768" w:rsidP="00F70768">
            <w:pPr>
              <w:suppressLineNumbers/>
              <w:tabs>
                <w:tab w:val="left" w:pos="2550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Надання</w:t>
            </w:r>
            <w:r w:rsidRPr="00F7076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послуг з постачання програмного продукту для виявлення та запобігання вторгнень (</w:t>
            </w:r>
            <w:proofErr w:type="spellStart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Intrusion</w:t>
            </w:r>
            <w:proofErr w:type="spellEnd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Detection</w:t>
            </w:r>
            <w:proofErr w:type="spellEnd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System</w:t>
            </w:r>
            <w:proofErr w:type="spellEnd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 (IDS)/ </w:t>
            </w:r>
            <w:proofErr w:type="spellStart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Intrusion</w:t>
            </w:r>
            <w:proofErr w:type="spellEnd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Prevention</w:t>
            </w:r>
            <w:proofErr w:type="spellEnd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System</w:t>
            </w:r>
            <w:proofErr w:type="spellEnd"/>
            <w:r w:rsidRPr="00F70768">
              <w:rPr>
                <w:rFonts w:eastAsia="Times New Roman" w:cs="Times New Roman"/>
                <w:color w:val="000000"/>
                <w:sz w:val="22"/>
                <w:lang w:eastAsia="ru-RU"/>
              </w:rPr>
              <w:t> (IPS)) у складі: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ar-SA"/>
              </w:rPr>
              <w:t xml:space="preserve"> -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ar-SA"/>
              </w:rPr>
              <w:t>12</w:t>
            </w:r>
          </w:p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ar-SA"/>
              </w:rPr>
              <w:t>з дня активації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ar-SA"/>
              </w:rPr>
              <w:t>послуга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color w:val="000000"/>
                <w:sz w:val="22"/>
                <w:lang w:eastAsia="ar-SA"/>
              </w:rPr>
              <w:t>1</w:t>
            </w:r>
          </w:p>
        </w:tc>
      </w:tr>
      <w:tr w:rsidR="00F70768" w:rsidRPr="00F70768" w:rsidTr="00F70768">
        <w:trPr>
          <w:cantSplit/>
          <w:trHeight w:val="29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after="120" w:line="254" w:lineRule="auto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color w:val="000000"/>
                <w:sz w:val="22"/>
                <w:lang w:eastAsia="ar-SA"/>
              </w:rPr>
              <w:t>1.1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8" w:rsidRPr="00F70768" w:rsidRDefault="00F70768" w:rsidP="00F70768">
            <w:pPr>
              <w:suppressLineNumbers/>
              <w:tabs>
                <w:tab w:val="left" w:pos="2550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програмна продукція (екземпляр комп’ютерної програми) L-FPR2130T-TC-1Y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Cisco</w:t>
            </w:r>
            <w:proofErr w:type="spellEnd"/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 FPR2130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Threat</w:t>
            </w:r>
            <w:proofErr w:type="spellEnd"/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Defense</w:t>
            </w:r>
            <w:proofErr w:type="spellEnd"/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Threat</w:t>
            </w:r>
            <w:proofErr w:type="spellEnd"/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and</w:t>
            </w:r>
            <w:proofErr w:type="spellEnd"/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 URL 1Y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Subs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ru-RU"/>
              </w:rPr>
              <w:t>L-FPR2130T-TC-1Y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ar-SA"/>
              </w:rPr>
              <w:t>12</w:t>
            </w:r>
          </w:p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ar-SA"/>
              </w:rPr>
              <w:t>з дня активації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F70768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color w:val="000000"/>
                <w:sz w:val="22"/>
                <w:lang w:eastAsia="ar-SA"/>
              </w:rPr>
              <w:t>2</w:t>
            </w:r>
          </w:p>
        </w:tc>
      </w:tr>
      <w:tr w:rsidR="00F70768" w:rsidRPr="00F70768" w:rsidTr="00F70768">
        <w:trPr>
          <w:cantSplit/>
          <w:trHeight w:val="29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after="120" w:line="254" w:lineRule="auto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color w:val="000000"/>
                <w:sz w:val="22"/>
                <w:lang w:eastAsia="ar-SA"/>
              </w:rPr>
              <w:t>1.2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8" w:rsidRPr="00F70768" w:rsidRDefault="00F70768" w:rsidP="00F70768">
            <w:pPr>
              <w:suppressLineNumbers/>
              <w:tabs>
                <w:tab w:val="left" w:pos="2550"/>
                <w:tab w:val="left" w:pos="9639"/>
              </w:tabs>
              <w:spacing w:line="254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програмна продукція (екземпляр комп’ютерної програми) L-FPR2130T-URL-1Y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Cisco</w:t>
            </w:r>
            <w:proofErr w:type="spellEnd"/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 FPR2130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Threat</w:t>
            </w:r>
            <w:proofErr w:type="spellEnd"/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Defense</w:t>
            </w:r>
            <w:proofErr w:type="spellEnd"/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 URL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Filtering</w:t>
            </w:r>
            <w:proofErr w:type="spellEnd"/>
            <w:r w:rsidRPr="00F70768">
              <w:rPr>
                <w:rFonts w:eastAsia="Times New Roman" w:cs="Times New Roman"/>
                <w:sz w:val="22"/>
                <w:lang w:eastAsia="ru-RU"/>
              </w:rPr>
              <w:t xml:space="preserve"> 1Y </w:t>
            </w:r>
            <w:proofErr w:type="spellStart"/>
            <w:r w:rsidRPr="00F70768">
              <w:rPr>
                <w:rFonts w:eastAsia="Times New Roman" w:cs="Times New Roman"/>
                <w:sz w:val="22"/>
                <w:lang w:eastAsia="ru-RU"/>
              </w:rPr>
              <w:t>Subs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ru-RU"/>
              </w:rPr>
              <w:t>L-FPR2130T-URL-1Y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ar-SA"/>
              </w:rPr>
              <w:t>12</w:t>
            </w:r>
          </w:p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sz w:val="22"/>
                <w:lang w:eastAsia="ar-SA"/>
              </w:rPr>
              <w:t>з дня активації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F70768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68" w:rsidRPr="00F70768" w:rsidRDefault="00F70768" w:rsidP="00F70768">
            <w:pPr>
              <w:tabs>
                <w:tab w:val="left" w:pos="9639"/>
              </w:tabs>
              <w:suppressAutoHyphens/>
              <w:spacing w:line="254" w:lineRule="auto"/>
              <w:ind w:left="-43" w:right="-68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F70768">
              <w:rPr>
                <w:rFonts w:eastAsia="Times New Roman" w:cs="Times New Roman"/>
                <w:color w:val="000000"/>
                <w:sz w:val="22"/>
                <w:lang w:eastAsia="ar-SA"/>
              </w:rPr>
              <w:t>2</w:t>
            </w:r>
          </w:p>
        </w:tc>
      </w:tr>
    </w:tbl>
    <w:p w:rsidR="00261E4D" w:rsidRPr="00261E4D" w:rsidRDefault="00261E4D" w:rsidP="00261E4D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70768" w:rsidRPr="00F70768" w:rsidRDefault="00F70768" w:rsidP="00F70768">
      <w:pPr>
        <w:pStyle w:val="a7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70768">
        <w:rPr>
          <w:rFonts w:ascii="Times New Roman" w:hAnsi="Times New Roman" w:cs="Times New Roman"/>
          <w:sz w:val="26"/>
          <w:szCs w:val="26"/>
          <w:u w:val="single"/>
        </w:rPr>
        <w:t>4.</w:t>
      </w:r>
      <w:r w:rsidR="00261E4D" w:rsidRPr="00F70768">
        <w:rPr>
          <w:rFonts w:ascii="Times New Roman" w:hAnsi="Times New Roman" w:cs="Times New Roman"/>
          <w:sz w:val="26"/>
          <w:szCs w:val="26"/>
          <w:u w:val="single"/>
          <w:lang w:val="x-none"/>
        </w:rPr>
        <w:t>Обґрунтування технічних та якісних характеристик</w:t>
      </w:r>
      <w:r w:rsidR="00261E4D" w:rsidRPr="00F70768">
        <w:rPr>
          <w:rFonts w:ascii="Times New Roman" w:hAnsi="Times New Roman" w:cs="Times New Roman"/>
          <w:sz w:val="26"/>
          <w:szCs w:val="26"/>
          <w:lang w:val="x-none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</w:t>
      </w:r>
      <w:r w:rsidRPr="00F70768">
        <w:rPr>
          <w:rFonts w:ascii="Times New Roman" w:hAnsi="Times New Roman" w:cs="Times New Roman"/>
          <w:sz w:val="26"/>
          <w:szCs w:val="26"/>
        </w:rPr>
        <w:t xml:space="preserve">Інформація про необхідні технічні, якісні та кількісні характеристики предмета закупівлі – технічні вимоги визначено у додатку </w:t>
      </w:r>
      <w:r w:rsidRPr="00F70768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F70768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70768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F70768">
        <w:rPr>
          <w:rFonts w:ascii="Times New Roman" w:hAnsi="Times New Roman" w:cs="Times New Roman"/>
          <w:sz w:val="26"/>
          <w:szCs w:val="26"/>
        </w:rPr>
        <w:t xml:space="preserve"> договору.</w:t>
      </w:r>
    </w:p>
    <w:p w:rsidR="00F70768" w:rsidRPr="00F70768" w:rsidRDefault="00F70768" w:rsidP="00F70768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70768">
        <w:rPr>
          <w:rFonts w:ascii="Times New Roman" w:hAnsi="Times New Roman" w:cs="Times New Roman"/>
          <w:sz w:val="26"/>
          <w:szCs w:val="26"/>
          <w:u w:val="single"/>
        </w:rPr>
        <w:t>Очікувані результати:</w:t>
      </w:r>
      <w:r w:rsidRPr="00F70768">
        <w:rPr>
          <w:rFonts w:ascii="Times New Roman" w:hAnsi="Times New Roman" w:cs="Times New Roman"/>
          <w:sz w:val="26"/>
          <w:szCs w:val="26"/>
        </w:rPr>
        <w:t xml:space="preserve"> забезпечено </w:t>
      </w:r>
      <w:r w:rsidRPr="00F70768">
        <w:rPr>
          <w:rFonts w:ascii="Times New Roman" w:hAnsi="Times New Roman" w:cs="Times New Roman"/>
          <w:sz w:val="26"/>
          <w:szCs w:val="26"/>
          <w:lang w:eastAsia="uk-UA"/>
        </w:rPr>
        <w:t>належний рівень стійкості й захищеності інформаційних систем Держмитслужби</w:t>
      </w:r>
      <w:r w:rsidRPr="00F70768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261E4D" w:rsidRPr="00F70768" w:rsidRDefault="00261E4D" w:rsidP="00F70768">
      <w:pPr>
        <w:keepNext/>
        <w:tabs>
          <w:tab w:val="num" w:pos="1134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14357" w:rsidRPr="00092F91" w:rsidRDefault="00261E4D" w:rsidP="00F70768">
      <w:pPr>
        <w:widowControl w:val="0"/>
        <w:tabs>
          <w:tab w:val="left" w:pos="708"/>
        </w:tabs>
        <w:ind w:firstLine="709"/>
        <w:jc w:val="both"/>
        <w:rPr>
          <w:b/>
          <w:bCs/>
          <w:color w:val="000000" w:themeColor="text1"/>
          <w:sz w:val="24"/>
          <w:szCs w:val="24"/>
          <w:lang w:eastAsia="uk-UA"/>
        </w:rPr>
      </w:pPr>
      <w:r w:rsidRPr="00261E4D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бюджетного призначення та/або очікуваної вартості предмета закупівлі:</w:t>
      </w:r>
      <w:r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Розрахунок очікуваної вартості закупівлі послуг з постачання програмного продукту для виявлення та запобігання вторгнень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Intrusion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Detection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System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(IDS)/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Intrusion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Prevention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System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(IPS)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на підставі проведеного аналізу цін на аналогічні за технічними характеристиками послуги шляхом направлення листів потенційним учасникам процедури закупівлі, а саме листи від 13.08.2025 № 23/23-03-03/320 на Товариство з обмеженою відповідальністю «БІЛІНТЕХ УКРАЇНА», № 23/23-03-03/321 на Товариство з обмеженою відповідальністю «АЙ ТІ ДІАЛОГ» та № 23/23-03-03/322 на Товариство з обмеженою відповідальністю «АЛЕСТА». Відповідно до цінових пропозицій вартість зазначених послуг складає: ТОВ «БІЛІНТЕХ УКРАЇНА» - 1 087 910,64 грн, ТОВ «АЙ ТІ ДІАЛОГ» - 1 085 400,00 грн, ТОВ «АЛЕСТА» - 1 067 488,80 грн. Отже, середня вартість з постачання програмного продукту для виявлення та запобігання вторгнень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Intrusion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Detection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System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(IDS)/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Intrusion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Prevention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F70768" w:rsidRPr="00F70768">
        <w:rPr>
          <w:rFonts w:eastAsia="Times New Roman" w:cs="Times New Roman"/>
          <w:sz w:val="26"/>
          <w:szCs w:val="26"/>
          <w:lang w:eastAsia="ru-RU"/>
        </w:rPr>
        <w:t>System</w:t>
      </w:r>
      <w:proofErr w:type="spellEnd"/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(IPS) складає 1 080</w:t>
      </w:r>
      <w:r w:rsidR="00F70768">
        <w:rPr>
          <w:rFonts w:eastAsia="Times New Roman" w:cs="Times New Roman"/>
          <w:sz w:val="26"/>
          <w:szCs w:val="26"/>
          <w:lang w:eastAsia="ru-RU"/>
        </w:rPr>
        <w:t> 2</w:t>
      </w:r>
      <w:r w:rsidR="00A42124">
        <w:rPr>
          <w:rFonts w:eastAsia="Times New Roman" w:cs="Times New Roman"/>
          <w:sz w:val="26"/>
          <w:szCs w:val="26"/>
          <w:lang w:eastAsia="ru-RU"/>
        </w:rPr>
        <w:t>67</w:t>
      </w:r>
      <w:r w:rsidR="00142A4A">
        <w:rPr>
          <w:rFonts w:eastAsia="Times New Roman" w:cs="Times New Roman"/>
          <w:sz w:val="26"/>
          <w:szCs w:val="26"/>
          <w:lang w:eastAsia="ru-RU"/>
        </w:rPr>
        <w:t>,00 гривень.</w:t>
      </w:r>
      <w:bookmarkStart w:id="0" w:name="_GoBack"/>
      <w:bookmarkEnd w:id="0"/>
    </w:p>
    <w:sectPr w:rsidR="00F14357" w:rsidRPr="00092F91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4A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7FCC"/>
    <w:rsid w:val="00142A4A"/>
    <w:rsid w:val="00143111"/>
    <w:rsid w:val="001463DB"/>
    <w:rsid w:val="00146928"/>
    <w:rsid w:val="0022794A"/>
    <w:rsid w:val="00261E4D"/>
    <w:rsid w:val="00307378"/>
    <w:rsid w:val="0033663D"/>
    <w:rsid w:val="00402568"/>
    <w:rsid w:val="00464A76"/>
    <w:rsid w:val="00534801"/>
    <w:rsid w:val="005527AD"/>
    <w:rsid w:val="0055505C"/>
    <w:rsid w:val="00586190"/>
    <w:rsid w:val="00654674"/>
    <w:rsid w:val="006D04CB"/>
    <w:rsid w:val="006E157B"/>
    <w:rsid w:val="006F557D"/>
    <w:rsid w:val="00710917"/>
    <w:rsid w:val="007329CB"/>
    <w:rsid w:val="00733068"/>
    <w:rsid w:val="007A3900"/>
    <w:rsid w:val="007E48A6"/>
    <w:rsid w:val="0084248B"/>
    <w:rsid w:val="008463DD"/>
    <w:rsid w:val="00860A1D"/>
    <w:rsid w:val="0092337D"/>
    <w:rsid w:val="00957C68"/>
    <w:rsid w:val="00972D90"/>
    <w:rsid w:val="00984C2C"/>
    <w:rsid w:val="009B5358"/>
    <w:rsid w:val="009B6ECD"/>
    <w:rsid w:val="00A13F0A"/>
    <w:rsid w:val="00A238BF"/>
    <w:rsid w:val="00A42124"/>
    <w:rsid w:val="00A73625"/>
    <w:rsid w:val="00B24970"/>
    <w:rsid w:val="00BC2816"/>
    <w:rsid w:val="00C0074F"/>
    <w:rsid w:val="00CA2875"/>
    <w:rsid w:val="00D56785"/>
    <w:rsid w:val="00DD27E5"/>
    <w:rsid w:val="00EE391C"/>
    <w:rsid w:val="00F14357"/>
    <w:rsid w:val="00F70768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85B8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3806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 Ірина</cp:lastModifiedBy>
  <cp:revision>54</cp:revision>
  <cp:lastPrinted>2025-09-16T07:11:00Z</cp:lastPrinted>
  <dcterms:created xsi:type="dcterms:W3CDTF">2024-04-11T08:32:00Z</dcterms:created>
  <dcterms:modified xsi:type="dcterms:W3CDTF">2025-10-14T08:29:00Z</dcterms:modified>
</cp:coreProperties>
</file>