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bookmarkStart w:id="0" w:name="_GoBack"/>
      <w:bookmarkEnd w:id="0"/>
    </w:p>
    <w:p w:rsidR="0003718E" w:rsidRDefault="0003718E" w:rsidP="0003718E">
      <w:pPr>
        <w:jc w:val="center"/>
        <w:rPr>
          <w:rFonts w:eastAsia="Times New Roman" w:cs="Times New Roman"/>
          <w:color w:val="000000"/>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64C9C" w:rsidRPr="000070DA" w:rsidRDefault="00564C9C" w:rsidP="0003718E">
      <w:pPr>
        <w:jc w:val="center"/>
        <w:rPr>
          <w:rFonts w:eastAsia="Times New Roman" w:cs="Times New Roman"/>
          <w:sz w:val="24"/>
          <w:szCs w:val="24"/>
          <w:lang w:eastAsia="uk-UA"/>
        </w:rPr>
      </w:pPr>
      <w:r w:rsidRPr="00564C9C">
        <w:rPr>
          <w:rFonts w:eastAsia="Times New Roman" w:cs="Times New Roman"/>
          <w:sz w:val="24"/>
          <w:szCs w:val="24"/>
          <w:lang w:eastAsia="uk-UA"/>
        </w:rPr>
        <w:t>(оприлюднюється на виконання постанови КМУ № 710 від 11.10.2016 «Про ефективне використання державних коштів» (зі змінами))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b/>
          <w:color w:val="000000"/>
          <w:sz w:val="24"/>
          <w:szCs w:val="24"/>
          <w:lang w:eastAsia="uk-UA"/>
        </w:rPr>
        <w:t>ОБҐРУНТУВАННЯ ПІДСТАВИ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color w:val="000000"/>
          <w:sz w:val="24"/>
          <w:szCs w:val="24"/>
          <w:lang w:eastAsia="uk-UA"/>
        </w:rPr>
        <w:t xml:space="preserve">для здійснення закупівлі </w:t>
      </w:r>
      <w:r w:rsidRPr="00564C9C">
        <w:rPr>
          <w:rFonts w:eastAsia="Times New Roman" w:cs="Times New Roman"/>
          <w:b/>
          <w:color w:val="000000"/>
          <w:sz w:val="24"/>
          <w:szCs w:val="24"/>
          <w:lang w:eastAsia="uk-UA"/>
        </w:rPr>
        <w:t>згідно з підпунктом 5 пункту 13 Особливостей</w:t>
      </w:r>
      <w:r w:rsidRPr="00564C9C">
        <w:rPr>
          <w:rFonts w:eastAsia="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rsidR="00564C9C" w:rsidRPr="00564C9C" w:rsidRDefault="00564C9C" w:rsidP="00564C9C">
      <w:pPr>
        <w:rPr>
          <w:rFonts w:eastAsia="Times New Roman" w:cs="Times New Roman"/>
          <w:b/>
          <w:sz w:val="24"/>
          <w:szCs w:val="24"/>
          <w:lang w:eastAsia="uk-UA"/>
        </w:rPr>
      </w:pPr>
      <w:r w:rsidRPr="00564C9C">
        <w:rPr>
          <w:rFonts w:eastAsia="Times New Roman" w:cs="Times New Roman"/>
          <w:b/>
          <w:sz w:val="24"/>
          <w:szCs w:val="24"/>
          <w:lang w:eastAsia="uk-UA"/>
        </w:rPr>
        <w:t xml:space="preserve"> </w:t>
      </w: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C9C">
        <w:rPr>
          <w:rFonts w:eastAsia="Times New Roman" w:cs="Times New Roman"/>
          <w:sz w:val="24"/>
          <w:szCs w:val="24"/>
          <w:lang w:eastAsia="uk-UA"/>
        </w:rPr>
        <w:t>Державна митна служба України; вул. Дегтярівська, 11-Г, м. Київ, 04119; код за ЄДРПОУ – 43115923; категорія замовника – орган державної  влади.</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4C9C">
        <w:rPr>
          <w:rFonts w:eastAsia="Times New Roman" w:cs="Times New Roman"/>
          <w:sz w:val="24"/>
          <w:szCs w:val="24"/>
          <w:lang w:eastAsia="uk-UA"/>
        </w:rPr>
        <w:t xml:space="preserve"> </w:t>
      </w:r>
    </w:p>
    <w:p w:rsidR="001C71D5" w:rsidRPr="00564C9C" w:rsidRDefault="006875B6" w:rsidP="00564C9C">
      <w:pPr>
        <w:jc w:val="both"/>
        <w:rPr>
          <w:rFonts w:eastAsia="Times New Roman" w:cs="Times New Roman"/>
          <w:b/>
          <w:sz w:val="24"/>
          <w:szCs w:val="24"/>
          <w:lang w:eastAsia="uk-UA"/>
        </w:rPr>
      </w:pPr>
      <w:r w:rsidRPr="006875B6">
        <w:rPr>
          <w:rFonts w:eastAsia="Calibri" w:cs="Times New Roman"/>
          <w:sz w:val="24"/>
          <w:szCs w:val="24"/>
          <w:lang w:eastAsia="uk-UA"/>
        </w:rPr>
        <w:t xml:space="preserve">Послуги із забезпечення зв'язку між Державною митною службою України та міністерствами і відомствами, з використанням Національної системи </w:t>
      </w:r>
      <w:r>
        <w:rPr>
          <w:rFonts w:eastAsia="Calibri" w:cs="Times New Roman"/>
          <w:sz w:val="24"/>
          <w:szCs w:val="24"/>
          <w:lang w:eastAsia="uk-UA"/>
        </w:rPr>
        <w:t>конфіденційного</w:t>
      </w:r>
      <w:r w:rsidRPr="006875B6">
        <w:rPr>
          <w:rFonts w:eastAsia="Calibri" w:cs="Times New Roman"/>
          <w:sz w:val="24"/>
          <w:szCs w:val="24"/>
          <w:lang w:eastAsia="uk-UA"/>
        </w:rPr>
        <w:t xml:space="preserve"> зв</w:t>
      </w:r>
      <w:r>
        <w:rPr>
          <w:rFonts w:eastAsia="Calibri" w:cs="Times New Roman"/>
          <w:sz w:val="24"/>
          <w:szCs w:val="24"/>
          <w:lang w:eastAsia="uk-UA"/>
        </w:rPr>
        <w:t>’</w:t>
      </w:r>
      <w:r w:rsidRPr="006875B6">
        <w:rPr>
          <w:rFonts w:eastAsia="Calibri" w:cs="Times New Roman"/>
          <w:sz w:val="24"/>
          <w:szCs w:val="24"/>
          <w:lang w:eastAsia="uk-UA"/>
        </w:rPr>
        <w:t>язку за кодом ДК 021:2015 - 64210000-1 - Послуги телефонного зв'язку та передачі даних (Послуги із забезпечення зв'язку між Державною митною службою України та міністерствами і відомствами, з використанням Національної системи конфіденційного зв'язку: ДК 021:2015 - 64210000-1 - Послуги телефонного зв'язку та передачі даних)</w:t>
      </w:r>
    </w:p>
    <w:p w:rsidR="006875B6" w:rsidRDefault="006875B6"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val="en-US" w:eastAsia="uk-UA"/>
        </w:rPr>
      </w:pPr>
      <w:r w:rsidRPr="00564C9C">
        <w:rPr>
          <w:rFonts w:eastAsia="Times New Roman" w:cs="Times New Roman"/>
          <w:b/>
          <w:sz w:val="24"/>
          <w:szCs w:val="24"/>
          <w:lang w:eastAsia="uk-UA"/>
        </w:rPr>
        <w:t>Вид та ідентифікатор процедур закупівель (у разі наявності):</w:t>
      </w:r>
      <w:r w:rsidRPr="00564C9C">
        <w:rPr>
          <w:rFonts w:eastAsia="Times New Roman" w:cs="Times New Roman"/>
          <w:sz w:val="24"/>
          <w:szCs w:val="24"/>
          <w:lang w:eastAsia="uk-UA"/>
        </w:rPr>
        <w:t xml:space="preserve"> </w:t>
      </w:r>
      <w:r w:rsidRPr="0066753D">
        <w:rPr>
          <w:rFonts w:eastAsia="Times New Roman" w:cs="Times New Roman"/>
          <w:sz w:val="24"/>
          <w:szCs w:val="24"/>
          <w:lang w:val="en-US" w:eastAsia="uk-UA"/>
        </w:rPr>
        <w:t>UA-202</w:t>
      </w:r>
      <w:r w:rsidR="0066753D">
        <w:rPr>
          <w:rFonts w:eastAsia="Times New Roman" w:cs="Times New Roman"/>
          <w:sz w:val="24"/>
          <w:szCs w:val="24"/>
          <w:lang w:eastAsia="uk-UA"/>
        </w:rPr>
        <w:t>5</w:t>
      </w:r>
      <w:r w:rsidRPr="0066753D">
        <w:rPr>
          <w:rFonts w:eastAsia="Times New Roman" w:cs="Times New Roman"/>
          <w:sz w:val="24"/>
          <w:szCs w:val="24"/>
          <w:lang w:val="en-US" w:eastAsia="uk-UA"/>
        </w:rPr>
        <w:t>-</w:t>
      </w:r>
      <w:r w:rsidR="006875B6">
        <w:rPr>
          <w:rFonts w:eastAsia="Times New Roman" w:cs="Times New Roman"/>
          <w:sz w:val="24"/>
          <w:szCs w:val="24"/>
          <w:lang w:eastAsia="uk-UA"/>
        </w:rPr>
        <w:t>04</w:t>
      </w:r>
      <w:r w:rsidRPr="0066753D">
        <w:rPr>
          <w:rFonts w:eastAsia="Times New Roman" w:cs="Times New Roman"/>
          <w:sz w:val="24"/>
          <w:szCs w:val="24"/>
          <w:lang w:val="en-US" w:eastAsia="uk-UA"/>
        </w:rPr>
        <w:t>-</w:t>
      </w:r>
      <w:r w:rsidR="006875B6">
        <w:rPr>
          <w:rFonts w:eastAsia="Times New Roman" w:cs="Times New Roman"/>
          <w:sz w:val="24"/>
          <w:szCs w:val="24"/>
          <w:lang w:eastAsia="uk-UA"/>
        </w:rPr>
        <w:t>24</w:t>
      </w:r>
      <w:r w:rsidRPr="0066753D">
        <w:rPr>
          <w:rFonts w:eastAsia="Times New Roman" w:cs="Times New Roman"/>
          <w:sz w:val="24"/>
          <w:szCs w:val="24"/>
          <w:lang w:val="en-US" w:eastAsia="uk-UA"/>
        </w:rPr>
        <w:t>-</w:t>
      </w:r>
      <w:r w:rsidR="006875B6">
        <w:rPr>
          <w:rFonts w:eastAsia="Times New Roman" w:cs="Times New Roman"/>
          <w:sz w:val="24"/>
          <w:szCs w:val="24"/>
          <w:lang w:eastAsia="uk-UA"/>
        </w:rPr>
        <w:t>009332</w:t>
      </w:r>
      <w:r w:rsidRPr="0066753D">
        <w:rPr>
          <w:rFonts w:eastAsia="Times New Roman" w:cs="Times New Roman"/>
          <w:sz w:val="24"/>
          <w:szCs w:val="24"/>
          <w:lang w:val="en-US" w:eastAsia="uk-UA"/>
        </w:rPr>
        <w:t>-a</w:t>
      </w:r>
    </w:p>
    <w:p w:rsidR="00564C9C" w:rsidRPr="00564C9C" w:rsidRDefault="00564C9C" w:rsidP="00564C9C">
      <w:pPr>
        <w:jc w:val="both"/>
        <w:rPr>
          <w:rFonts w:eastAsia="Times New Roman" w:cs="Times New Roman"/>
          <w:sz w:val="24"/>
          <w:szCs w:val="24"/>
          <w:lang w:eastAsia="uk-UA"/>
        </w:rPr>
      </w:pPr>
    </w:p>
    <w:p w:rsidR="006875B6" w:rsidRDefault="00564C9C" w:rsidP="006875B6">
      <w:pPr>
        <w:jc w:val="both"/>
        <w:rPr>
          <w:rFonts w:eastAsia="Times New Roman" w:cs="Times New Roman"/>
          <w:sz w:val="26"/>
          <w:szCs w:val="26"/>
        </w:rPr>
      </w:pPr>
      <w:r w:rsidRPr="00564C9C">
        <w:rPr>
          <w:rFonts w:eastAsia="Calibri" w:cs="Calibri"/>
          <w:szCs w:val="28"/>
          <w:lang w:eastAsia="ru-RU"/>
        </w:rPr>
        <w:t xml:space="preserve"> </w:t>
      </w:r>
      <w:r w:rsidR="006875B6">
        <w:rPr>
          <w:rFonts w:eastAsia="Times New Roman" w:cs="Times New Roman"/>
          <w:b/>
          <w:sz w:val="26"/>
          <w:szCs w:val="26"/>
        </w:rPr>
        <w:t>Розмір бюджетного призначення:</w:t>
      </w:r>
      <w:r w:rsidR="006875B6">
        <w:rPr>
          <w:rFonts w:eastAsia="Times New Roman" w:cs="Times New Roman"/>
          <w:sz w:val="26"/>
          <w:szCs w:val="26"/>
        </w:rPr>
        <w:t xml:space="preserve"> 815 000,00 гривень згідно з кошторисом видатків Держмитслужби (апарат) на 2025 рік.</w:t>
      </w:r>
    </w:p>
    <w:p w:rsidR="006875B6" w:rsidRDefault="006875B6" w:rsidP="006875B6">
      <w:pPr>
        <w:jc w:val="both"/>
        <w:rPr>
          <w:rFonts w:eastAsia="Times New Roman" w:cs="Times New Roman"/>
          <w:sz w:val="26"/>
          <w:szCs w:val="26"/>
        </w:rPr>
      </w:pPr>
      <w:r>
        <w:rPr>
          <w:rFonts w:eastAsia="Times New Roman" w:cs="Times New Roman"/>
          <w:sz w:val="26"/>
          <w:szCs w:val="26"/>
        </w:rPr>
        <w:t>Обґрунтування очікуваної вартості закупівлі: 771 125,30 гривень, розраховано відповідно цінової пропозиції ДП «Українські спеціальні системи».</w:t>
      </w:r>
    </w:p>
    <w:p w:rsidR="006875B6" w:rsidRDefault="006875B6" w:rsidP="006875B6">
      <w:pPr>
        <w:spacing w:before="280" w:after="280"/>
        <w:jc w:val="both"/>
        <w:rPr>
          <w:rFonts w:eastAsia="Times New Roman" w:cs="Times New Roman"/>
          <w:i/>
          <w:sz w:val="24"/>
          <w:szCs w:val="24"/>
        </w:rPr>
      </w:pPr>
      <w:r>
        <w:rPr>
          <w:rFonts w:eastAsia="Times New Roman" w:cs="Times New Roman"/>
          <w:b/>
          <w:sz w:val="24"/>
          <w:szCs w:val="24"/>
        </w:rPr>
        <w:t xml:space="preserve">Підстави для здійснення закупівлі: </w:t>
      </w:r>
      <w:r>
        <w:rPr>
          <w:rFonts w:eastAsia="Times New Roman" w:cs="Times New Roman"/>
          <w:i/>
          <w:sz w:val="24"/>
          <w:szCs w:val="24"/>
        </w:rPr>
        <w:t>відповідно до підпункту 5 пункту 13 Особливостей</w:t>
      </w:r>
      <w:r>
        <w:rPr>
          <w:rFonts w:eastAsia="Times New Roman" w:cs="Times New Roman"/>
          <w:b/>
          <w:color w:val="323232"/>
          <w:sz w:val="24"/>
          <w:szCs w:val="24"/>
        </w:rPr>
        <w:t xml:space="preserve"> </w:t>
      </w:r>
      <w:r>
        <w:rPr>
          <w:rFonts w:eastAsia="Times New Roman" w:cs="Times New Roman"/>
          <w:i/>
          <w:sz w:val="24"/>
          <w:szCs w:val="24"/>
        </w:rPr>
        <w:t>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rsidR="006875B6" w:rsidRDefault="006875B6" w:rsidP="006875B6">
      <w:pPr>
        <w:tabs>
          <w:tab w:val="left" w:pos="284"/>
        </w:tabs>
        <w:spacing w:before="240" w:line="276" w:lineRule="auto"/>
        <w:jc w:val="both"/>
        <w:rPr>
          <w:rFonts w:eastAsia="Times New Roman" w:cs="Times New Roman"/>
          <w:i/>
          <w:color w:val="000000"/>
          <w:sz w:val="24"/>
          <w:szCs w:val="24"/>
        </w:rPr>
      </w:pPr>
      <w:r>
        <w:rPr>
          <w:rFonts w:eastAsia="Times New Roman" w:cs="Times New Roman"/>
          <w:b/>
          <w:sz w:val="24"/>
          <w:szCs w:val="24"/>
        </w:rPr>
        <w:t>Обґрунтування підстави для здійснення закупівлі</w:t>
      </w:r>
      <w:r>
        <w:rPr>
          <w:rFonts w:eastAsia="Times New Roman" w:cs="Times New Roman"/>
          <w:b/>
          <w:color w:val="000000"/>
          <w:sz w:val="24"/>
          <w:szCs w:val="24"/>
        </w:rPr>
        <w:t>:</w:t>
      </w:r>
      <w:r>
        <w:rPr>
          <w:rFonts w:eastAsia="Times New Roman" w:cs="Times New Roman"/>
          <w:i/>
          <w:color w:val="000000"/>
          <w:sz w:val="24"/>
          <w:szCs w:val="24"/>
        </w:rPr>
        <w:t xml:space="preserve"> </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Указом Президента України від 24.02.2022 № 64 (зі змінами) термін дії воєнного стану встановлено до 07 серпня 2025 року.</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Статтею 4 Указу № 64 Кабінету Міністрів України постановлено невідкладно:</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1) ввести в дію план запровадження та забезпечення заходів правового режиму воєнного стану в Україні;</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lastRenderedPageBreak/>
        <w:t>Стаття 121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1) працює відповідно до Регламенту Кабінету Міністрів України в умовах воєнного стану;</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 </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На виконання цієї норми Закону урядом були прийняті Особливості.</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Положеннями Особливостей передбачено підставу для здійснення закупівлі за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Відповідно до Закону України «Про Національну систему конфіденційного зв’язку» (із змінами) створено Національну систему конфіденційного зв’язку (далі – НСКЗ) для забезпечення обміну інформацією між міністерствами та відомствами, яка є єдиною системою зв’язку та передачі даних, що забезпечує технічний та криптографічний захист інформації при передаванні. Складовою НСКЗ є Спеціальна інформаційно-телекомунікаційна система (далі – СІТС) органів виконавчої влади. Абонентами СІТС НСКЗ є всі органи виконавчої влади та інші державні органи, у тому числі і Державна митна служба України (далі – Держмитслужба). Відповідно до статті 6 Закону України «Про Національну систему конфіденційного зв’язку» (із змінами) управління Національною системою конфіденційного зв'язку, її функціонування, розвиток, використання та захист інформації забезпечуються спеціально уповноваженим центральним органом виконавчої влади з питань організації спеціального зв'язку та захисту інформації відповідно до законодавства, а саме Адміністрацією Державної служби спеціального зв’язку та захисту інформації України (п.1 Положення про Адміністрацію Державної служби спеціального зв’язку та захисту інформації України, яке затверджено постановою Кабінету Міністрів України від 03 вересня 2014 року № 411 (із змінами)). Надання послуг конфіденційного зв’язку здійснюється відповідно до Порядку надання послуг конфіденційного зв’язку органам державної влади та органам місцевого самоврядування, державним підприємствам, установам та організаціям (далі – Порядок), що визначає механізм та умови надання операторами комунікацій зазначених послуг в НСКЗ, який затверджено постановою Кабінету Міністрів України від 11 жовтня 2002 року № 1519 (із змінами). Відповідно до Положення про спеціальну інформаційно-телекомунікаційну систему органів виконавчої влади, затвердженого наказом Адміністрації Державної служби спеціального зв’язку та захисту інформації України від 18.09.2017 № 110/ДСК (зареєстровано у </w:t>
      </w:r>
      <w:r>
        <w:rPr>
          <w:rFonts w:ascii="Times New Roman" w:eastAsia="Calibri" w:hAnsi="Times New Roman" w:cs="Times New Roman"/>
          <w:color w:val="auto"/>
          <w:kern w:val="0"/>
          <w:szCs w:val="26"/>
          <w:lang w:val="uk-UA" w:eastAsia="ru-RU" w:bidi="ar-SA"/>
        </w:rPr>
        <w:lastRenderedPageBreak/>
        <w:t xml:space="preserve">Міністерстві юстиції України 11 жовтня 2017 р. за № 1156/31124), безпосередні функції з надання послуг конфіденційного зв’язку суб’єктам СІТС НСКЗ (державним органам, органам місцевого самоврядування, державним підприємствам, установам і організаціям), організації заходів із забезпечення функціонування, розвитку, використання та захисту інформації в СІТС НСКЗ виконує Державне підприємство «Українські спеціальні системи», яке визначено оператором СІТС НСКЗ і належить до сфери управління Адміністрації Державної служби спеціального зв’язку та захисту інформації України (лист Адміністрації </w:t>
      </w:r>
      <w:proofErr w:type="spellStart"/>
      <w:r>
        <w:rPr>
          <w:rFonts w:ascii="Times New Roman" w:eastAsia="Calibri" w:hAnsi="Times New Roman" w:cs="Times New Roman"/>
          <w:color w:val="auto"/>
          <w:kern w:val="0"/>
          <w:szCs w:val="26"/>
          <w:lang w:val="uk-UA" w:eastAsia="ru-RU" w:bidi="ar-SA"/>
        </w:rPr>
        <w:t>Держспецз’язку</w:t>
      </w:r>
      <w:proofErr w:type="spellEnd"/>
      <w:r>
        <w:rPr>
          <w:rFonts w:ascii="Times New Roman" w:eastAsia="Calibri" w:hAnsi="Times New Roman" w:cs="Times New Roman"/>
          <w:color w:val="auto"/>
          <w:kern w:val="0"/>
          <w:szCs w:val="26"/>
          <w:lang w:val="uk-UA" w:eastAsia="ru-RU" w:bidi="ar-SA"/>
        </w:rPr>
        <w:t xml:space="preserve"> від 14.02.2025 № 02/01/03-1470/2025, Атестат відповідності системи захисту інформації від 09.07.2020 № 21662). Інших організацій-операторів комунікацій, що можуть надавати послуги конфіденційного зв’язку в СІТС НСКЗ відповідно до Закону України «Про Національну систему конфіденційного зв’язку» та Порядку, не визначено.</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Відповідно до Положення про спеціальну інформаційно-комунікаційну систему органів виконавчої влади, затвердженого наказом Адміністрації </w:t>
      </w:r>
      <w:proofErr w:type="spellStart"/>
      <w:r>
        <w:rPr>
          <w:rFonts w:ascii="Times New Roman" w:eastAsia="Calibri" w:hAnsi="Times New Roman" w:cs="Times New Roman"/>
          <w:color w:val="auto"/>
          <w:kern w:val="0"/>
          <w:szCs w:val="26"/>
          <w:lang w:val="uk-UA" w:eastAsia="ru-RU" w:bidi="ar-SA"/>
        </w:rPr>
        <w:t>Держспецзв’язку</w:t>
      </w:r>
      <w:proofErr w:type="spellEnd"/>
      <w:r>
        <w:rPr>
          <w:rFonts w:ascii="Times New Roman" w:eastAsia="Calibri" w:hAnsi="Times New Roman" w:cs="Times New Roman"/>
          <w:color w:val="auto"/>
          <w:kern w:val="0"/>
          <w:szCs w:val="26"/>
          <w:lang w:val="uk-UA" w:eastAsia="ru-RU" w:bidi="ar-SA"/>
        </w:rPr>
        <w:t xml:space="preserve"> від 18.09.2017 № 110/ДСК (у редакції наказу Адміністрації </w:t>
      </w:r>
      <w:proofErr w:type="spellStart"/>
      <w:r>
        <w:rPr>
          <w:rFonts w:ascii="Times New Roman" w:eastAsia="Calibri" w:hAnsi="Times New Roman" w:cs="Times New Roman"/>
          <w:color w:val="auto"/>
          <w:kern w:val="0"/>
          <w:szCs w:val="26"/>
          <w:lang w:val="uk-UA" w:eastAsia="ru-RU" w:bidi="ar-SA"/>
        </w:rPr>
        <w:t>Держспецзв’язку</w:t>
      </w:r>
      <w:proofErr w:type="spellEnd"/>
      <w:r>
        <w:rPr>
          <w:rFonts w:ascii="Times New Roman" w:eastAsia="Calibri" w:hAnsi="Times New Roman" w:cs="Times New Roman"/>
          <w:color w:val="auto"/>
          <w:kern w:val="0"/>
          <w:szCs w:val="26"/>
          <w:lang w:val="uk-UA" w:eastAsia="ru-RU" w:bidi="ar-SA"/>
        </w:rPr>
        <w:t xml:space="preserve"> від 16.03.2023 </w:t>
      </w:r>
      <w:r>
        <w:rPr>
          <w:rFonts w:ascii="Times New Roman" w:eastAsia="Calibri" w:hAnsi="Times New Roman" w:cs="Times New Roman"/>
          <w:color w:val="auto"/>
          <w:kern w:val="0"/>
          <w:szCs w:val="26"/>
          <w:lang w:val="uk-UA" w:eastAsia="ru-RU" w:bidi="ar-SA"/>
        </w:rPr>
        <w:br/>
        <w:t xml:space="preserve">№ 68/ДСК), безпосередні функції з надання послуг конфіденційного зв’язку, у тому числі надання у користування захищених каналів передачі даних, захищений доступ до мережі Інтернет  суб’єктам СІКС НСКЗ (державним органам, органам місцевого самоврядування, державним підприємствам, установам та організаціям), організації заходів із забезпечення функціонування, розвитку та захисту інформації в СІКС НСКЗ виконує державне підприємство «УКРАЇНСЬКІ СПЕЦІАЛЬНІ СИСТЕМИ», яке визначено оператором СІКС НСКЗ.    </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До виконання безпосередніх функцій з надання послуг конфіденційного зв’язку в СІКС НСКЗ інших установ і підприємств </w:t>
      </w:r>
      <w:proofErr w:type="spellStart"/>
      <w:r>
        <w:rPr>
          <w:rFonts w:ascii="Times New Roman" w:eastAsia="Calibri" w:hAnsi="Times New Roman" w:cs="Times New Roman"/>
          <w:color w:val="auto"/>
          <w:kern w:val="0"/>
          <w:szCs w:val="26"/>
          <w:lang w:val="uk-UA" w:eastAsia="ru-RU" w:bidi="ar-SA"/>
        </w:rPr>
        <w:t>Держспецзв’язку</w:t>
      </w:r>
      <w:proofErr w:type="spellEnd"/>
      <w:r>
        <w:rPr>
          <w:rFonts w:ascii="Times New Roman" w:eastAsia="Calibri" w:hAnsi="Times New Roman" w:cs="Times New Roman"/>
          <w:color w:val="auto"/>
          <w:kern w:val="0"/>
          <w:szCs w:val="26"/>
          <w:lang w:val="uk-UA" w:eastAsia="ru-RU" w:bidi="ar-SA"/>
        </w:rPr>
        <w:t xml:space="preserve"> або інших операторів систем (мереж) НСКЗ не залучено.</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 Враховуючи викладене вище та з метою задоволення потреби на 2025 рік у послугах за предметом закупівлі «Послуг із забезпечення зв'язку між Державною митною службою України та міністерствами і відомствами, з використанням Національної системи конфіденційного зв'язку» за кодом ДК 021:2015 - 64210000-1 - Послуги телефонного зв'язку та передачі даних (Послуг із забезпечення зв'язку між Державною митною службою України та міністерствами і відомствами, з використанням Національної системи конфіденційного зв'язку: ДК 021:2015 - 64210000-1 - Послуги телефонного зв'язку та передачі даних) необхідно здійснити закупівлю без застосування відкритих торгів та / або електронного каталогу для закупівлі товару шляхом укладання договору про закупівлю без використання електронної системи закупівель.</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Водночас, як передбачено чинним законодавством, під час здійснення закупівель замовники повинні дотримуватися принципів здійснення публічних закупівель.</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послуг та застосування під час здійснення закупівлі,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w:t>
      </w:r>
      <w:r>
        <w:rPr>
          <w:rFonts w:ascii="Times New Roman" w:eastAsia="Calibri" w:hAnsi="Times New Roman" w:cs="Times New Roman"/>
          <w:color w:val="auto"/>
          <w:kern w:val="0"/>
          <w:szCs w:val="26"/>
          <w:u w:val="single"/>
          <w:lang w:val="uk-UA" w:eastAsia="ru-RU" w:bidi="ar-SA"/>
        </w:rPr>
        <w:t>у випадку відсутності конкуренції з технічних причин, яка повинна бути документально підтверджена замовником, і укладення договорів</w:t>
      </w:r>
      <w:r>
        <w:rPr>
          <w:rFonts w:ascii="Times New Roman" w:eastAsia="Calibri" w:hAnsi="Times New Roman" w:cs="Times New Roman"/>
          <w:color w:val="auto"/>
          <w:kern w:val="0"/>
          <w:szCs w:val="26"/>
          <w:lang w:val="uk-UA" w:eastAsia="ru-RU" w:bidi="ar-SA"/>
        </w:rPr>
        <w:t>. Послуги можуть бути надані виключно певним суб’єктом господарювання, а саме ДП «Українські спеціальні системи».</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w:t>
      </w:r>
      <w:r>
        <w:rPr>
          <w:rFonts w:ascii="Times New Roman" w:eastAsia="Calibri" w:hAnsi="Times New Roman" w:cs="Times New Roman"/>
          <w:color w:val="auto"/>
          <w:kern w:val="0"/>
          <w:szCs w:val="26"/>
          <w:lang w:val="uk-UA" w:eastAsia="ru-RU" w:bidi="ar-SA"/>
        </w:rPr>
        <w:lastRenderedPageBreak/>
        <w:t>без використання електронної системи закупівель, відповідно до пункту 3</w:t>
      </w:r>
      <w:r>
        <w:rPr>
          <w:rFonts w:ascii="Times New Roman" w:eastAsia="Calibri" w:hAnsi="Times New Roman" w:cs="Times New Roman"/>
          <w:color w:val="auto"/>
          <w:kern w:val="0"/>
          <w:szCs w:val="26"/>
          <w:vertAlign w:val="superscript"/>
          <w:lang w:val="uk-UA" w:eastAsia="ru-RU" w:bidi="ar-SA"/>
        </w:rPr>
        <w:t>8</w:t>
      </w:r>
      <w:r>
        <w:rPr>
          <w:rFonts w:ascii="Times New Roman" w:eastAsia="Calibri" w:hAnsi="Times New Roman" w:cs="Times New Roman"/>
          <w:color w:val="auto"/>
          <w:kern w:val="0"/>
          <w:szCs w:val="26"/>
          <w:lang w:val="uk-UA" w:eastAsia="ru-RU" w:bidi="ar-SA"/>
        </w:rPr>
        <w:t xml:space="preserve"> розділу Х «Прикінцеві та перехідні положення» Закону.</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З огляду на викладене, рішення Замовника про проведення закупівлі відповідає чинному законодавству.</w:t>
      </w:r>
    </w:p>
    <w:p w:rsidR="006875B6" w:rsidRDefault="006875B6" w:rsidP="006875B6">
      <w:pPr>
        <w:pStyle w:val="Standard"/>
        <w:ind w:firstLine="708"/>
        <w:jc w:val="both"/>
        <w:rPr>
          <w:rFonts w:ascii="Times New Roman" w:eastAsia="Calibri" w:hAnsi="Times New Roman" w:cs="Times New Roman"/>
          <w:b/>
          <w:color w:val="auto"/>
          <w:kern w:val="0"/>
          <w:szCs w:val="26"/>
          <w:lang w:val="uk-UA" w:eastAsia="ru-RU" w:bidi="ar-SA"/>
        </w:rPr>
      </w:pPr>
      <w:r>
        <w:rPr>
          <w:rFonts w:ascii="Times New Roman" w:eastAsia="Calibri" w:hAnsi="Times New Roman" w:cs="Times New Roman"/>
          <w:b/>
          <w:color w:val="auto"/>
          <w:kern w:val="0"/>
          <w:szCs w:val="26"/>
          <w:lang w:val="uk-UA" w:eastAsia="ru-RU" w:bidi="ar-SA"/>
        </w:rPr>
        <w:t>Перелік документів, якими підтверджується наявність підстави для застосування виключення за Особливостями (документальне підтвердження):</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1. Лист Адміністрації Державної служби спеціального зв’язку та захисту інформації  України від14.02.2025 № 02/01/03-11312/СЕД.</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2. Реєстр постачальників електронних комунікаційних мереж та послуг (витяг).</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3. Атестат відповідності.</w:t>
      </w:r>
    </w:p>
    <w:p w:rsidR="0003718E" w:rsidRPr="00F62C35" w:rsidRDefault="0003718E" w:rsidP="006875B6">
      <w:pPr>
        <w:widowControl w:val="0"/>
        <w:tabs>
          <w:tab w:val="left" w:pos="426"/>
        </w:tabs>
        <w:suppressAutoHyphens/>
        <w:autoSpaceDN w:val="0"/>
        <w:jc w:val="both"/>
        <w:textAlignment w:val="baseline"/>
        <w:rPr>
          <w:rFonts w:cs="Times New Roman"/>
          <w:sz w:val="24"/>
          <w:szCs w:val="24"/>
        </w:rPr>
      </w:pPr>
    </w:p>
    <w:sectPr w:rsidR="0003718E" w:rsidRPr="00F62C35" w:rsidSect="0066753D">
      <w:headerReference w:type="even" r:id="rId7"/>
      <w:headerReference w:type="default" r:id="rId8"/>
      <w:footerReference w:type="even" r:id="rId9"/>
      <w:footerReference w:type="default" r:id="rId10"/>
      <w:headerReference w:type="first" r:id="rId11"/>
      <w:footerReference w:type="first" r:id="rId12"/>
      <w:pgSz w:w="11906" w:h="16838"/>
      <w:pgMar w:top="426" w:right="850" w:bottom="568"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3D" w:rsidRDefault="0066753D" w:rsidP="0066753D">
      <w:r>
        <w:separator/>
      </w:r>
    </w:p>
  </w:endnote>
  <w:endnote w:type="continuationSeparator" w:id="0">
    <w:p w:rsidR="0066753D" w:rsidRDefault="0066753D" w:rsidP="006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3D" w:rsidRDefault="0066753D" w:rsidP="0066753D">
      <w:r>
        <w:separator/>
      </w:r>
    </w:p>
  </w:footnote>
  <w:footnote w:type="continuationSeparator" w:id="0">
    <w:p w:rsidR="0066753D" w:rsidRDefault="0066753D" w:rsidP="0066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34126"/>
      <w:docPartObj>
        <w:docPartGallery w:val="Page Numbers (Top of Page)"/>
        <w:docPartUnique/>
      </w:docPartObj>
    </w:sdtPr>
    <w:sdtEndPr/>
    <w:sdtContent>
      <w:p w:rsidR="0066753D" w:rsidRDefault="0066753D">
        <w:pPr>
          <w:pStyle w:val="ae"/>
          <w:jc w:val="center"/>
        </w:pPr>
        <w:r>
          <w:fldChar w:fldCharType="begin"/>
        </w:r>
        <w:r>
          <w:instrText>PAGE   \* MERGEFORMAT</w:instrText>
        </w:r>
        <w:r>
          <w:fldChar w:fldCharType="separate"/>
        </w:r>
        <w:r w:rsidR="008A1C72">
          <w:rPr>
            <w:noProof/>
          </w:rPr>
          <w:t>2</w:t>
        </w:r>
        <w:r>
          <w:fldChar w:fldCharType="end"/>
        </w:r>
      </w:p>
    </w:sdtContent>
  </w:sdt>
  <w:p w:rsidR="0066753D" w:rsidRDefault="0066753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B213AB"/>
    <w:multiLevelType w:val="hybridMultilevel"/>
    <w:tmpl w:val="469E816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316201"/>
    <w:multiLevelType w:val="hybridMultilevel"/>
    <w:tmpl w:val="CBCA7FE4"/>
    <w:lvl w:ilvl="0" w:tplc="0422000F">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6"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21"/>
  </w:num>
  <w:num w:numId="8">
    <w:abstractNumId w:val="13"/>
  </w:num>
  <w:num w:numId="9">
    <w:abstractNumId w:val="11"/>
  </w:num>
  <w:num w:numId="10">
    <w:abstractNumId w:val="26"/>
  </w:num>
  <w:num w:numId="11">
    <w:abstractNumId w:val="17"/>
  </w:num>
  <w:num w:numId="12">
    <w:abstractNumId w:val="9"/>
  </w:num>
  <w:num w:numId="13">
    <w:abstractNumId w:val="3"/>
  </w:num>
  <w:num w:numId="14">
    <w:abstractNumId w:val="23"/>
  </w:num>
  <w:num w:numId="15">
    <w:abstractNumId w:val="5"/>
  </w:num>
  <w:num w:numId="16">
    <w:abstractNumId w:val="14"/>
  </w:num>
  <w:num w:numId="17">
    <w:abstractNumId w:val="16"/>
  </w:num>
  <w:num w:numId="18">
    <w:abstractNumId w:val="2"/>
  </w:num>
  <w:num w:numId="19">
    <w:abstractNumId w:val="10"/>
  </w:num>
  <w:num w:numId="20">
    <w:abstractNumId w:val="22"/>
  </w:num>
  <w:num w:numId="21">
    <w:abstractNumId w:val="19"/>
  </w:num>
  <w:num w:numId="22">
    <w:abstractNumId w:val="20"/>
  </w:num>
  <w:num w:numId="23">
    <w:abstractNumId w:val="12"/>
  </w:num>
  <w:num w:numId="24">
    <w:abstractNumId w:val="7"/>
  </w:num>
  <w:num w:numId="25">
    <w:abstractNumId w:val="1"/>
  </w:num>
  <w:num w:numId="26">
    <w:abstractNumId w:val="2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143A2E"/>
    <w:rsid w:val="001A63D4"/>
    <w:rsid w:val="001C71D5"/>
    <w:rsid w:val="00224953"/>
    <w:rsid w:val="002F1F28"/>
    <w:rsid w:val="003916D2"/>
    <w:rsid w:val="00464A76"/>
    <w:rsid w:val="004D33BD"/>
    <w:rsid w:val="005527AD"/>
    <w:rsid w:val="00564C9C"/>
    <w:rsid w:val="0066753D"/>
    <w:rsid w:val="006875B6"/>
    <w:rsid w:val="0071212D"/>
    <w:rsid w:val="007329CB"/>
    <w:rsid w:val="00733068"/>
    <w:rsid w:val="00755A34"/>
    <w:rsid w:val="007E1CEF"/>
    <w:rsid w:val="0084248B"/>
    <w:rsid w:val="00860A1D"/>
    <w:rsid w:val="008A1C72"/>
    <w:rsid w:val="00984C2C"/>
    <w:rsid w:val="009B6ECD"/>
    <w:rsid w:val="009F366E"/>
    <w:rsid w:val="00A238BF"/>
    <w:rsid w:val="00B24970"/>
    <w:rsid w:val="00B96EF0"/>
    <w:rsid w:val="00CF2B91"/>
    <w:rsid w:val="00EE5C13"/>
    <w:rsid w:val="00F62C35"/>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uiPriority w:val="39"/>
    <w:rsid w:val="00564C9C"/>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6753D"/>
    <w:pPr>
      <w:tabs>
        <w:tab w:val="center" w:pos="4819"/>
        <w:tab w:val="right" w:pos="9639"/>
      </w:tabs>
    </w:pPr>
  </w:style>
  <w:style w:type="character" w:customStyle="1" w:styleId="af">
    <w:name w:val="Верхній колонтитул Знак"/>
    <w:basedOn w:val="a0"/>
    <w:link w:val="ae"/>
    <w:uiPriority w:val="99"/>
    <w:rsid w:val="0066753D"/>
    <w:rPr>
      <w:rFonts w:ascii="Times New Roman" w:hAnsi="Times New Roman"/>
      <w:sz w:val="28"/>
    </w:rPr>
  </w:style>
  <w:style w:type="paragraph" w:styleId="af0">
    <w:name w:val="footer"/>
    <w:basedOn w:val="a"/>
    <w:link w:val="af1"/>
    <w:uiPriority w:val="99"/>
    <w:unhideWhenUsed/>
    <w:rsid w:val="0066753D"/>
    <w:pPr>
      <w:tabs>
        <w:tab w:val="center" w:pos="4819"/>
        <w:tab w:val="right" w:pos="9639"/>
      </w:tabs>
    </w:pPr>
  </w:style>
  <w:style w:type="character" w:customStyle="1" w:styleId="af1">
    <w:name w:val="Нижній колонтитул Знак"/>
    <w:basedOn w:val="a0"/>
    <w:link w:val="af0"/>
    <w:uiPriority w:val="99"/>
    <w:rsid w:val="0066753D"/>
    <w:rPr>
      <w:rFonts w:ascii="Times New Roman" w:hAnsi="Times New Roman"/>
      <w:sz w:val="28"/>
    </w:rPr>
  </w:style>
  <w:style w:type="paragraph" w:customStyle="1" w:styleId="Standard">
    <w:name w:val="Standard"/>
    <w:rsid w:val="006875B6"/>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5868">
      <w:bodyDiv w:val="1"/>
      <w:marLeft w:val="0"/>
      <w:marRight w:val="0"/>
      <w:marTop w:val="0"/>
      <w:marBottom w:val="0"/>
      <w:divBdr>
        <w:top w:val="none" w:sz="0" w:space="0" w:color="auto"/>
        <w:left w:val="none" w:sz="0" w:space="0" w:color="auto"/>
        <w:bottom w:val="none" w:sz="0" w:space="0" w:color="auto"/>
        <w:right w:val="none" w:sz="0" w:space="0" w:color="auto"/>
      </w:divBdr>
    </w:div>
    <w:div w:id="10873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7585</Words>
  <Characters>4324</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 Ірина</cp:lastModifiedBy>
  <cp:revision>36</cp:revision>
  <cp:lastPrinted>2025-03-14T08:43:00Z</cp:lastPrinted>
  <dcterms:created xsi:type="dcterms:W3CDTF">2024-04-11T08:32:00Z</dcterms:created>
  <dcterms:modified xsi:type="dcterms:W3CDTF">2025-04-28T06:30:00Z</dcterms:modified>
</cp:coreProperties>
</file>