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bookmarkStart w:id="0" w:name="_GoBack"/>
      <w:bookmarkEnd w:id="0"/>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977517">
        <w:rPr>
          <w:b/>
          <w:bCs/>
          <w:sz w:val="24"/>
          <w:szCs w:val="24"/>
        </w:rPr>
        <w:t>:</w:t>
      </w:r>
      <w:r w:rsidRPr="00977517">
        <w:rPr>
          <w:sz w:val="24"/>
          <w:szCs w:val="24"/>
        </w:rPr>
        <w:t xml:space="preserve"> </w:t>
      </w:r>
      <w:r w:rsidRPr="00977517">
        <w:rPr>
          <w:sz w:val="24"/>
          <w:szCs w:val="24"/>
          <w:u w:val="single"/>
          <w:lang w:val="en-US"/>
        </w:rPr>
        <w:t>UA</w:t>
      </w:r>
      <w:r w:rsidRPr="00977517">
        <w:rPr>
          <w:sz w:val="24"/>
          <w:szCs w:val="24"/>
          <w:u w:val="single"/>
          <w:lang w:val="ru-RU"/>
        </w:rPr>
        <w:t>-202</w:t>
      </w:r>
      <w:r w:rsidR="00307378" w:rsidRPr="00977517">
        <w:rPr>
          <w:sz w:val="24"/>
          <w:szCs w:val="24"/>
          <w:u w:val="single"/>
          <w:lang w:val="ru-RU"/>
        </w:rPr>
        <w:t>5</w:t>
      </w:r>
      <w:r w:rsidRPr="00977517">
        <w:rPr>
          <w:sz w:val="24"/>
          <w:szCs w:val="24"/>
          <w:u w:val="single"/>
          <w:lang w:val="ru-RU"/>
        </w:rPr>
        <w:t>-</w:t>
      </w:r>
      <w:r w:rsidR="009C592A" w:rsidRPr="00977517">
        <w:rPr>
          <w:sz w:val="24"/>
          <w:szCs w:val="24"/>
          <w:u w:val="single"/>
        </w:rPr>
        <w:t>10</w:t>
      </w:r>
      <w:r w:rsidR="00261E4D" w:rsidRPr="00977517">
        <w:rPr>
          <w:sz w:val="24"/>
          <w:szCs w:val="24"/>
          <w:u w:val="single"/>
        </w:rPr>
        <w:t>-</w:t>
      </w:r>
      <w:r w:rsidR="009C592A" w:rsidRPr="00977517">
        <w:rPr>
          <w:sz w:val="24"/>
          <w:szCs w:val="24"/>
          <w:u w:val="single"/>
        </w:rPr>
        <w:t>21</w:t>
      </w:r>
      <w:r w:rsidRPr="00977517">
        <w:rPr>
          <w:sz w:val="24"/>
          <w:szCs w:val="24"/>
          <w:u w:val="single"/>
          <w:lang w:val="ru-RU"/>
        </w:rPr>
        <w:t>-</w:t>
      </w:r>
      <w:r w:rsidR="009C592A" w:rsidRPr="00977517">
        <w:rPr>
          <w:sz w:val="24"/>
          <w:szCs w:val="24"/>
          <w:u w:val="single"/>
          <w:lang w:val="ru-RU"/>
        </w:rPr>
        <w:t>011619</w:t>
      </w:r>
      <w:r w:rsidRPr="00977517">
        <w:rPr>
          <w:sz w:val="24"/>
          <w:szCs w:val="24"/>
          <w:u w:val="single"/>
          <w:lang w:val="ru-RU"/>
        </w:rPr>
        <w:t>-</w:t>
      </w:r>
      <w:r w:rsidRPr="00977517">
        <w:rPr>
          <w:sz w:val="24"/>
          <w:szCs w:val="24"/>
          <w:u w:val="single"/>
          <w:lang w:val="en-US"/>
        </w:rPr>
        <w:t>a</w:t>
      </w:r>
      <w:r w:rsidRPr="00977517">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B00519" w:rsidRPr="00B00519" w:rsidRDefault="00B00519" w:rsidP="00261E4D">
      <w:pPr>
        <w:pStyle w:val="a4"/>
        <w:tabs>
          <w:tab w:val="left" w:pos="0"/>
          <w:tab w:val="left" w:pos="993"/>
        </w:tabs>
        <w:ind w:left="0" w:firstLine="567"/>
        <w:jc w:val="both"/>
        <w:rPr>
          <w:sz w:val="26"/>
          <w:szCs w:val="26"/>
        </w:rPr>
      </w:pPr>
      <w:r w:rsidRPr="00B00519">
        <w:rPr>
          <w:sz w:val="26"/>
          <w:szCs w:val="26"/>
          <w:lang w:eastAsia="zh-CN"/>
        </w:rPr>
        <w:t xml:space="preserve">Послуги, пов’язані з програмним забезпеченням за кодом ДК 021:2015 – 72260000-5 (постачання </w:t>
      </w:r>
      <w:r w:rsidRPr="00B00519">
        <w:rPr>
          <w:sz w:val="26"/>
          <w:szCs w:val="26"/>
        </w:rPr>
        <w:t xml:space="preserve">ліцензії на технічну підтримку програмного продукту «Модуль </w:t>
      </w:r>
      <w:proofErr w:type="spellStart"/>
      <w:r w:rsidRPr="00B00519">
        <w:rPr>
          <w:sz w:val="26"/>
          <w:szCs w:val="26"/>
        </w:rPr>
        <w:t>Business</w:t>
      </w:r>
      <w:proofErr w:type="spellEnd"/>
      <w:r w:rsidRPr="00B00519">
        <w:rPr>
          <w:sz w:val="26"/>
          <w:szCs w:val="26"/>
        </w:rPr>
        <w:t xml:space="preserve"> </w:t>
      </w:r>
      <w:proofErr w:type="spellStart"/>
      <w:r w:rsidRPr="00B00519">
        <w:rPr>
          <w:sz w:val="26"/>
          <w:szCs w:val="26"/>
        </w:rPr>
        <w:t>Intelligence</w:t>
      </w:r>
      <w:proofErr w:type="spellEnd"/>
      <w:r w:rsidRPr="00B00519">
        <w:rPr>
          <w:sz w:val="26"/>
          <w:szCs w:val="26"/>
        </w:rPr>
        <w:t xml:space="preserve"> для Держмитслужби»).</w:t>
      </w:r>
    </w:p>
    <w:p w:rsidR="00B00519" w:rsidRPr="00B00519" w:rsidRDefault="00D56785" w:rsidP="00D814F0">
      <w:pPr>
        <w:pStyle w:val="a4"/>
        <w:tabs>
          <w:tab w:val="left" w:pos="0"/>
          <w:tab w:val="left" w:pos="993"/>
        </w:tabs>
        <w:ind w:left="0" w:firstLine="567"/>
        <w:jc w:val="both"/>
        <w:rPr>
          <w:rFonts w:eastAsia="Times New Roman" w:cs="Times New Roman"/>
          <w:sz w:val="26"/>
          <w:szCs w:val="26"/>
          <w:lang w:eastAsia="ar-SA"/>
        </w:rPr>
      </w:pPr>
      <w:r>
        <w:rPr>
          <w:rFonts w:cs="Times New Roman"/>
          <w:sz w:val="24"/>
          <w:szCs w:val="24"/>
        </w:rPr>
        <w:t>2.</w:t>
      </w:r>
      <w:r w:rsidR="00261E4D" w:rsidRPr="00261E4D">
        <w:rPr>
          <w:rFonts w:eastAsia="Times New Roman" w:cs="Times New Roman"/>
          <w:sz w:val="26"/>
          <w:szCs w:val="26"/>
          <w:u w:val="single"/>
          <w:lang w:eastAsia="ru-RU"/>
        </w:rPr>
        <w:t xml:space="preserve"> Обґрунтування доцільності закупівлі:</w:t>
      </w:r>
      <w:r w:rsidR="00261E4D" w:rsidRPr="00261E4D">
        <w:rPr>
          <w:rFonts w:eastAsia="Times New Roman" w:cs="Times New Roman"/>
          <w:sz w:val="26"/>
          <w:szCs w:val="26"/>
          <w:lang w:eastAsia="ru-RU"/>
        </w:rPr>
        <w:t xml:space="preserve"> </w:t>
      </w:r>
      <w:r w:rsidR="00B00519" w:rsidRPr="00B00519">
        <w:rPr>
          <w:rFonts w:eastAsia="Times New Roman" w:cs="Times New Roman"/>
          <w:sz w:val="26"/>
          <w:szCs w:val="26"/>
          <w:lang w:eastAsia="ar-SA"/>
        </w:rPr>
        <w:t>забезпечення вільного та безоплатного доступу до публічної інформації у формі відкритих даних шляхом регулярного оновлення та оприлюднення на Єдиному державному веб-порталі відкритих даних знеособленої зведеної інформації для статистичних цілей, знеособленої аналітичної інформації, знеособленої інформації щодо конкретних експортно-імпортних операцій та іншої інформації з питань митної справи;</w:t>
      </w:r>
    </w:p>
    <w:p w:rsidR="00B00519" w:rsidRDefault="00B00519" w:rsidP="00B00519">
      <w:pPr>
        <w:pStyle w:val="a4"/>
        <w:tabs>
          <w:tab w:val="left" w:pos="0"/>
          <w:tab w:val="left" w:pos="993"/>
        </w:tabs>
        <w:ind w:left="0" w:firstLine="567"/>
        <w:jc w:val="both"/>
        <w:rPr>
          <w:rFonts w:eastAsia="Times New Roman" w:cs="Times New Roman"/>
          <w:sz w:val="26"/>
          <w:szCs w:val="26"/>
          <w:lang w:eastAsia="ar-SA"/>
        </w:rPr>
      </w:pPr>
      <w:r>
        <w:rPr>
          <w:rFonts w:eastAsia="Times New Roman" w:cs="Times New Roman"/>
          <w:sz w:val="26"/>
          <w:szCs w:val="26"/>
          <w:lang w:eastAsia="ar-SA"/>
        </w:rPr>
        <w:t>в</w:t>
      </w:r>
      <w:r w:rsidRPr="00B00519">
        <w:rPr>
          <w:rFonts w:eastAsia="Times New Roman" w:cs="Times New Roman"/>
          <w:sz w:val="26"/>
          <w:szCs w:val="26"/>
          <w:lang w:eastAsia="ar-SA"/>
        </w:rPr>
        <w:t>иконання вимог статті 101 Закону України «Про доступ до публічної інформації», частини п’ятої статті 11 Митного кодексу України,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 (далі – Положення № 835), Порядку надання та оприлюднення знеособленої зведеної інформації для статистичних цілей, знеособленої аналітичної інформації, знеособленої інформації щодо конкретних експортно-імпортних операцій та іншої інформації з питань митної справи, затвердженого постановою Кабінету Міністрів України від 12 травня 2021 року № 462 (далі – Порядок № 462).</w:t>
      </w:r>
    </w:p>
    <w:p w:rsidR="00261E4D" w:rsidRPr="00261E4D" w:rsidRDefault="00261E4D" w:rsidP="00B00519">
      <w:pPr>
        <w:pStyle w:val="a4"/>
        <w:tabs>
          <w:tab w:val="left" w:pos="0"/>
          <w:tab w:val="left" w:pos="993"/>
        </w:tabs>
        <w:ind w:left="0" w:firstLine="567"/>
        <w:jc w:val="both"/>
        <w:rPr>
          <w:rFonts w:eastAsia="Times New Roman" w:cs="Times New Roman"/>
          <w:b/>
          <w:sz w:val="26"/>
          <w:szCs w:val="26"/>
          <w:u w:val="single"/>
          <w:lang w:eastAsia="ru-RU"/>
        </w:rPr>
      </w:pPr>
      <w:r w:rsidRPr="00261E4D">
        <w:rPr>
          <w:rFonts w:eastAsia="Times New Roman" w:cs="Times New Roman"/>
          <w:sz w:val="26"/>
          <w:szCs w:val="26"/>
          <w:u w:val="single"/>
          <w:lang w:eastAsia="ru-RU"/>
        </w:rPr>
        <w:t>Обґрунтування обсягів закупівлі:</w:t>
      </w:r>
    </w:p>
    <w:p w:rsidR="00B00519" w:rsidRPr="00B00519" w:rsidRDefault="00B00519" w:rsidP="00B00519">
      <w:pPr>
        <w:keepNext/>
        <w:tabs>
          <w:tab w:val="left" w:pos="708"/>
        </w:tabs>
        <w:ind w:firstLine="426"/>
        <w:jc w:val="both"/>
        <w:rPr>
          <w:rFonts w:eastAsia="Times New Roman" w:cs="Times New Roman"/>
          <w:sz w:val="26"/>
          <w:szCs w:val="26"/>
          <w:lang w:eastAsia="ru-RU"/>
        </w:rPr>
      </w:pPr>
      <w:r w:rsidRPr="00B00519">
        <w:rPr>
          <w:rFonts w:eastAsia="Times New Roman" w:cs="Times New Roman"/>
          <w:sz w:val="26"/>
          <w:szCs w:val="26"/>
          <w:lang w:eastAsia="ru-RU"/>
        </w:rPr>
        <w:t>відповідно до абзацу четвертого пункту 3 Положення № 835 розпорядники інформації можуть створювати модулі управлінської аналітики на основі наборів даних, які підлягають оприлюдненню у формі відкритих даних. Не допускається розміщення модулів управлінської аналітики без посилання на використані набори даних на Єдиному державному веб-порталі відкритих даних.</w:t>
      </w:r>
    </w:p>
    <w:p w:rsidR="00B00519" w:rsidRPr="00B00519" w:rsidRDefault="00B00519" w:rsidP="00D814F0">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Модуль управлінської аналітики – це інформаційно-комунікаційна система, що забезпечує відображення управлінської аналітики суб’єктами владних повноважень (абзац восьмий пункту 2 Положення № 835).</w:t>
      </w:r>
    </w:p>
    <w:p w:rsidR="00B00519" w:rsidRPr="00B00519" w:rsidRDefault="00B00519" w:rsidP="00D814F0">
      <w:pPr>
        <w:keepNext/>
        <w:tabs>
          <w:tab w:val="left" w:pos="708"/>
        </w:tabs>
        <w:ind w:firstLine="851"/>
        <w:jc w:val="both"/>
        <w:rPr>
          <w:rFonts w:eastAsia="Times New Roman" w:cs="Times New Roman"/>
          <w:sz w:val="26"/>
          <w:szCs w:val="26"/>
          <w:lang w:eastAsia="ru-RU"/>
        </w:rPr>
      </w:pPr>
      <w:r w:rsidRPr="00B00519">
        <w:rPr>
          <w:rFonts w:eastAsia="Times New Roman" w:cs="Times New Roman"/>
          <w:sz w:val="26"/>
          <w:szCs w:val="26"/>
          <w:lang w:eastAsia="ru-RU"/>
        </w:rPr>
        <w:t xml:space="preserve">Згідно з пунктом 13 Порядку № 462 знеособлена аналітична інформація, знеособлена інформація щодо загальних питань роботи митного органу та знеособлена інформація щодо правопорушень зберігаються та оприлюднюються за допомогою модуля управлінської аналітики. Відповідно до пункту 14 Порядку № 462 модуль управлінської аналітики, інтерфейс доступу до знеособленої інформації для </w:t>
      </w:r>
      <w:r w:rsidRPr="00B00519">
        <w:rPr>
          <w:rFonts w:eastAsia="Times New Roman" w:cs="Times New Roman"/>
          <w:sz w:val="26"/>
          <w:szCs w:val="26"/>
          <w:lang w:eastAsia="ru-RU"/>
        </w:rPr>
        <w:lastRenderedPageBreak/>
        <w:t>статистичних цілей та інформації щодо конкретних експортно-імпортних операцій входять до складу єдиної автоматизованої інформаційної системи митних органів.</w:t>
      </w:r>
    </w:p>
    <w:p w:rsidR="00B00519" w:rsidRPr="00B00519" w:rsidRDefault="00B00519" w:rsidP="00D814F0">
      <w:pPr>
        <w:keepNext/>
        <w:tabs>
          <w:tab w:val="left" w:pos="708"/>
        </w:tabs>
        <w:ind w:firstLine="709"/>
        <w:jc w:val="both"/>
        <w:rPr>
          <w:rFonts w:eastAsia="Times New Roman" w:cs="Times New Roman"/>
          <w:sz w:val="26"/>
          <w:szCs w:val="26"/>
          <w:lang w:eastAsia="ru-RU"/>
        </w:rPr>
      </w:pPr>
      <w:r w:rsidRPr="00B00519">
        <w:rPr>
          <w:rFonts w:eastAsia="Times New Roman" w:cs="Times New Roman"/>
          <w:sz w:val="26"/>
          <w:szCs w:val="26"/>
          <w:lang w:eastAsia="ru-RU"/>
        </w:rPr>
        <w:t>У рамках реалізації проекту міжнародної технічної допомоги за підтримки Програми USAID «Конкурентоспроможна економіка України (КЕУ)» та Програми ЄС з підтримки управління державними фінансами (EU4PFM) відповідно до грантової угоди обмеженого обсягу в натуральній формі від 05.02.2020 № LSGA 002, укладеної між компанією «</w:t>
      </w:r>
      <w:proofErr w:type="spellStart"/>
      <w:r w:rsidRPr="00B00519">
        <w:rPr>
          <w:rFonts w:eastAsia="Times New Roman" w:cs="Times New Roman"/>
          <w:sz w:val="26"/>
          <w:szCs w:val="26"/>
          <w:lang w:eastAsia="ru-RU"/>
        </w:rPr>
        <w:t>Кімонікс</w:t>
      </w:r>
      <w:proofErr w:type="spellEnd"/>
      <w:r w:rsidRPr="00B00519">
        <w:rPr>
          <w:rFonts w:eastAsia="Times New Roman" w:cs="Times New Roman"/>
          <w:sz w:val="26"/>
          <w:szCs w:val="26"/>
          <w:lang w:eastAsia="ru-RU"/>
        </w:rPr>
        <w:t xml:space="preserve"> Інтернешнл Інк» і Держмитслужбою, та звіту про передачу майна від 30.03.2020 компанією </w:t>
      </w:r>
      <w:proofErr w:type="spellStart"/>
      <w:r w:rsidRPr="00B00519">
        <w:rPr>
          <w:rFonts w:eastAsia="Times New Roman" w:cs="Times New Roman"/>
          <w:sz w:val="26"/>
          <w:szCs w:val="26"/>
          <w:lang w:eastAsia="ru-RU"/>
        </w:rPr>
        <w:t>Qlik</w:t>
      </w:r>
      <w:proofErr w:type="spellEnd"/>
      <w:r w:rsidRPr="00B00519">
        <w:rPr>
          <w:rFonts w:eastAsia="Times New Roman" w:cs="Times New Roman"/>
          <w:sz w:val="26"/>
          <w:szCs w:val="26"/>
          <w:lang w:eastAsia="ru-RU"/>
        </w:rPr>
        <w:t xml:space="preserve"> надано Держмитслужбі можливість безстрокового використання платформи </w:t>
      </w:r>
      <w:proofErr w:type="spellStart"/>
      <w:r w:rsidRPr="00B00519">
        <w:rPr>
          <w:rFonts w:eastAsia="Times New Roman" w:cs="Times New Roman"/>
          <w:sz w:val="26"/>
          <w:szCs w:val="26"/>
          <w:lang w:eastAsia="ru-RU"/>
        </w:rPr>
        <w:t>Qlik</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Analytics</w:t>
      </w:r>
      <w:proofErr w:type="spellEnd"/>
      <w:r w:rsidRPr="00B00519">
        <w:rPr>
          <w:rFonts w:eastAsia="Times New Roman" w:cs="Times New Roman"/>
          <w:sz w:val="26"/>
          <w:szCs w:val="26"/>
          <w:lang w:eastAsia="ru-RU"/>
        </w:rPr>
        <w:t xml:space="preserve"> та отримано програмний продукт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Держмитслужби», включаючи надання технічної підтримки та оновлень протягом одного року.</w:t>
      </w:r>
    </w:p>
    <w:p w:rsidR="00B00519" w:rsidRPr="00B00519" w:rsidRDefault="00B00519" w:rsidP="00D814F0">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 xml:space="preserve">Програмний продукт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для Держмитслужби» введено в дослідну експлуатацію наказом Держмитслужби від 03.11.2020 № 497.</w:t>
      </w:r>
    </w:p>
    <w:p w:rsidR="00B00519" w:rsidRPr="00B00519" w:rsidRDefault="00B00519" w:rsidP="00D814F0">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Відповідно до Положення № 835 за допомогою модуля управлінської аналітики на Єдиному державному веб-порталі відкритих даних оприлюднюється знеособлена інформація, зазначена у частині п’ятій статті 11 Митного кодексу України. Втрата модуля бізнес аналітики є ризиком недотримання Держмитслужбою вимог статті 11 Митного кодексу України.</w:t>
      </w:r>
    </w:p>
    <w:p w:rsidR="00B00519" w:rsidRPr="00B00519" w:rsidRDefault="00B00519" w:rsidP="00B00519">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 xml:space="preserve">Функціонування ВІ-системи Держмитслужби знаходиться у прямій залежності від забезпечення технічної підтримки ліцензії </w:t>
      </w:r>
      <w:proofErr w:type="spellStart"/>
      <w:r w:rsidRPr="00B00519">
        <w:rPr>
          <w:rFonts w:eastAsia="Times New Roman" w:cs="Times New Roman"/>
          <w:sz w:val="26"/>
          <w:szCs w:val="26"/>
          <w:lang w:eastAsia="ru-RU"/>
        </w:rPr>
        <w:t>Qlik</w:t>
      </w:r>
      <w:proofErr w:type="spellEnd"/>
      <w:r w:rsidRPr="00B00519">
        <w:rPr>
          <w:rFonts w:eastAsia="Times New Roman" w:cs="Times New Roman"/>
          <w:sz w:val="26"/>
          <w:szCs w:val="26"/>
          <w:lang w:eastAsia="ru-RU"/>
        </w:rPr>
        <w:t xml:space="preserve"> та сплати Держмитслужбою щорічних платежів.</w:t>
      </w:r>
    </w:p>
    <w:p w:rsidR="00B00519" w:rsidRPr="00B00519" w:rsidRDefault="00B00519" w:rsidP="00B00519">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 xml:space="preserve">У 2021 році для забезпечення технічної підтримки програмного продукту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для Держмитслужби» між Держмитслужбою та товариством з обмеженою відповідальністю «К’ЮНАЛІТІКС» було укладено договір від 20.12.2021 № 69 про надання послуг, пов’язаних з програмним забезпеченням (ліцензія на технічну підтримку онлайн сервісу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для Держмитслужби» (BI-системи Держмитслужби) на період з 01.04.2021 по 31.03.2022).</w:t>
      </w:r>
    </w:p>
    <w:p w:rsidR="00B00519" w:rsidRPr="00B00519" w:rsidRDefault="00B00519" w:rsidP="00B00519">
      <w:pPr>
        <w:keepNext/>
        <w:tabs>
          <w:tab w:val="left" w:pos="708"/>
        </w:tabs>
        <w:ind w:firstLine="567"/>
        <w:jc w:val="both"/>
        <w:rPr>
          <w:rFonts w:eastAsia="Times New Roman" w:cs="Times New Roman"/>
          <w:sz w:val="26"/>
          <w:szCs w:val="26"/>
          <w:lang w:eastAsia="ru-RU"/>
        </w:rPr>
      </w:pPr>
      <w:r w:rsidRPr="00B00519">
        <w:rPr>
          <w:rFonts w:eastAsia="Times New Roman" w:cs="Times New Roman"/>
          <w:sz w:val="26"/>
          <w:szCs w:val="26"/>
          <w:lang w:eastAsia="ru-RU"/>
        </w:rPr>
        <w:t xml:space="preserve">У зв’язку з обмеженим фінансуванням Держмитслужби, спричиненим широкомасштабною збройною агресією російської федерації проти України та запровадженням воєнного стану з 24 лютого 2022 року, а також через відсутність зацікавленості з боку партнерів з розвитку у фінансовій підтримці зазначеного напряму, що також обумовлено збройною агресією, технічна підтримка програмного продукту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для Держмитслужби» у 2022–2024 роках не здійснювалася.</w:t>
      </w:r>
    </w:p>
    <w:p w:rsidR="00B00519" w:rsidRPr="00B00519" w:rsidRDefault="00B00519" w:rsidP="00B00519">
      <w:pPr>
        <w:keepNext/>
        <w:tabs>
          <w:tab w:val="left" w:pos="708"/>
        </w:tabs>
        <w:jc w:val="both"/>
        <w:rPr>
          <w:rFonts w:eastAsia="Times New Roman" w:cs="Times New Roman"/>
          <w:sz w:val="26"/>
          <w:szCs w:val="26"/>
          <w:lang w:eastAsia="ru-RU"/>
        </w:rPr>
      </w:pPr>
      <w:r w:rsidRPr="00B00519">
        <w:rPr>
          <w:rFonts w:eastAsia="Times New Roman" w:cs="Times New Roman"/>
          <w:sz w:val="26"/>
          <w:szCs w:val="26"/>
          <w:lang w:eastAsia="ru-RU"/>
        </w:rPr>
        <w:t xml:space="preserve">Програмний продукт «Модуль </w:t>
      </w:r>
      <w:proofErr w:type="spellStart"/>
      <w:r w:rsidRPr="00B00519">
        <w:rPr>
          <w:rFonts w:eastAsia="Times New Roman" w:cs="Times New Roman"/>
          <w:sz w:val="26"/>
          <w:szCs w:val="26"/>
          <w:lang w:eastAsia="ru-RU"/>
        </w:rPr>
        <w:t>Business</w:t>
      </w:r>
      <w:proofErr w:type="spellEnd"/>
      <w:r w:rsidRPr="00B00519">
        <w:rPr>
          <w:rFonts w:eastAsia="Times New Roman" w:cs="Times New Roman"/>
          <w:sz w:val="26"/>
          <w:szCs w:val="26"/>
          <w:lang w:eastAsia="ru-RU"/>
        </w:rPr>
        <w:t xml:space="preserve"> </w:t>
      </w:r>
      <w:proofErr w:type="spellStart"/>
      <w:r w:rsidRPr="00B00519">
        <w:rPr>
          <w:rFonts w:eastAsia="Times New Roman" w:cs="Times New Roman"/>
          <w:sz w:val="26"/>
          <w:szCs w:val="26"/>
          <w:lang w:eastAsia="ru-RU"/>
        </w:rPr>
        <w:t>Intelligence</w:t>
      </w:r>
      <w:proofErr w:type="spellEnd"/>
      <w:r w:rsidRPr="00B00519">
        <w:rPr>
          <w:rFonts w:eastAsia="Times New Roman" w:cs="Times New Roman"/>
          <w:sz w:val="26"/>
          <w:szCs w:val="26"/>
          <w:lang w:eastAsia="ru-RU"/>
        </w:rPr>
        <w:t xml:space="preserve"> для Держмитслужби» є критично важливим інструментом для забезпечення прозорості, ефективного управління та прийняття рішень у сфері митної справи, оскільки надає:</w:t>
      </w:r>
    </w:p>
    <w:p w:rsidR="00B00519" w:rsidRPr="00B00519" w:rsidRDefault="00B00519" w:rsidP="00B00519">
      <w:pPr>
        <w:keepNext/>
        <w:tabs>
          <w:tab w:val="left" w:pos="708"/>
        </w:tabs>
        <w:jc w:val="both"/>
        <w:rPr>
          <w:rFonts w:eastAsia="Times New Roman" w:cs="Times New Roman"/>
          <w:sz w:val="26"/>
          <w:szCs w:val="26"/>
          <w:lang w:eastAsia="ru-RU"/>
        </w:rPr>
      </w:pPr>
      <w:r w:rsidRPr="00B00519">
        <w:rPr>
          <w:rFonts w:eastAsia="Times New Roman" w:cs="Times New Roman"/>
          <w:sz w:val="26"/>
          <w:szCs w:val="26"/>
          <w:lang w:eastAsia="ru-RU"/>
        </w:rPr>
        <w:t xml:space="preserve">доступ до знеособленої аналітичної інформації на основі відкритих даних та дозволяє Держмитслужбі </w:t>
      </w:r>
      <w:proofErr w:type="spellStart"/>
      <w:r w:rsidRPr="00B00519">
        <w:rPr>
          <w:rFonts w:eastAsia="Times New Roman" w:cs="Times New Roman"/>
          <w:sz w:val="26"/>
          <w:szCs w:val="26"/>
          <w:lang w:eastAsia="ru-RU"/>
        </w:rPr>
        <w:t>оперативно</w:t>
      </w:r>
      <w:proofErr w:type="spellEnd"/>
      <w:r w:rsidRPr="00B00519">
        <w:rPr>
          <w:rFonts w:eastAsia="Times New Roman" w:cs="Times New Roman"/>
          <w:sz w:val="26"/>
          <w:szCs w:val="26"/>
          <w:lang w:eastAsia="ru-RU"/>
        </w:rPr>
        <w:t xml:space="preserve"> аналізувати ключові показники діяльності митних органів;</w:t>
      </w:r>
    </w:p>
    <w:p w:rsidR="00261E4D" w:rsidRPr="00261E4D" w:rsidRDefault="00B00519" w:rsidP="00B00519">
      <w:pPr>
        <w:keepNext/>
        <w:tabs>
          <w:tab w:val="left" w:pos="708"/>
        </w:tabs>
        <w:jc w:val="both"/>
        <w:rPr>
          <w:rFonts w:eastAsia="Times New Roman" w:cs="Times New Roman"/>
          <w:sz w:val="26"/>
          <w:szCs w:val="26"/>
          <w:lang w:eastAsia="ru-RU"/>
        </w:rPr>
      </w:pPr>
      <w:r w:rsidRPr="00B00519">
        <w:rPr>
          <w:rFonts w:eastAsia="Times New Roman" w:cs="Times New Roman"/>
          <w:sz w:val="26"/>
          <w:szCs w:val="26"/>
          <w:lang w:eastAsia="ru-RU"/>
        </w:rPr>
        <w:t xml:space="preserve">можливість як загального огляду статистичної інформації за обраними вимірами та показниками, так і детального аналізу у розрізі заданих періодів, </w:t>
      </w:r>
      <w:proofErr w:type="spellStart"/>
      <w:r w:rsidRPr="00B00519">
        <w:rPr>
          <w:rFonts w:eastAsia="Times New Roman" w:cs="Times New Roman"/>
          <w:sz w:val="26"/>
          <w:szCs w:val="26"/>
          <w:lang w:eastAsia="ru-RU"/>
        </w:rPr>
        <w:t>підкатегорій</w:t>
      </w:r>
      <w:proofErr w:type="spellEnd"/>
      <w:r w:rsidRPr="00B00519">
        <w:rPr>
          <w:rFonts w:eastAsia="Times New Roman" w:cs="Times New Roman"/>
          <w:sz w:val="26"/>
          <w:szCs w:val="26"/>
          <w:lang w:eastAsia="ru-RU"/>
        </w:rPr>
        <w:t xml:space="preserve"> УКТ ЗЕД, митних режимів, митних органів тощо.</w:t>
      </w:r>
    </w:p>
    <w:p w:rsidR="00261E4D" w:rsidRPr="00261E4D" w:rsidRDefault="00261E4D" w:rsidP="00261E4D">
      <w:pPr>
        <w:keepNext/>
        <w:tabs>
          <w:tab w:val="num" w:pos="1134"/>
        </w:tabs>
        <w:ind w:firstLine="709"/>
        <w:jc w:val="both"/>
        <w:rPr>
          <w:rFonts w:eastAsia="Times New Roman" w:cs="Times New Roman"/>
          <w:sz w:val="26"/>
          <w:szCs w:val="26"/>
          <w:lang w:val="x-none" w:eastAsia="ru-RU"/>
        </w:rPr>
      </w:pPr>
      <w:r w:rsidRPr="00261E4D">
        <w:rPr>
          <w:rFonts w:eastAsia="Times New Roman" w:cs="Times New Roman"/>
          <w:sz w:val="26"/>
          <w:szCs w:val="26"/>
          <w:u w:val="single"/>
          <w:lang w:val="x-none" w:eastAsia="ru-RU"/>
        </w:rPr>
        <w:t>Обґрунтування технічних та якісних характеристик</w:t>
      </w:r>
      <w:r w:rsidRPr="00261E4D">
        <w:rPr>
          <w:rFonts w:eastAsia="Times New Roman" w:cs="Times New Roman"/>
          <w:sz w:val="26"/>
          <w:szCs w:val="26"/>
          <w:lang w:val="x-none" w:eastAsia="ru-RU"/>
        </w:rPr>
        <w:t xml:space="preserve"> закупівлі (якісні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 Інформація про необхідні технічні, якісні та </w:t>
      </w:r>
      <w:r w:rsidRPr="00261E4D">
        <w:rPr>
          <w:rFonts w:eastAsia="Times New Roman" w:cs="Times New Roman"/>
          <w:sz w:val="26"/>
          <w:szCs w:val="26"/>
          <w:lang w:val="x-none" w:eastAsia="ru-RU"/>
        </w:rPr>
        <w:lastRenderedPageBreak/>
        <w:t xml:space="preserve">кількісні характеристики предмета закупівлі – технічні вимоги визначено у додатку </w:t>
      </w:r>
      <w:r w:rsidR="00D814F0">
        <w:rPr>
          <w:rFonts w:eastAsia="Times New Roman" w:cs="Times New Roman"/>
          <w:sz w:val="26"/>
          <w:szCs w:val="26"/>
          <w:lang w:eastAsia="ru-RU"/>
        </w:rPr>
        <w:t>2</w:t>
      </w:r>
      <w:r w:rsidRPr="00261E4D">
        <w:rPr>
          <w:rFonts w:eastAsia="Times New Roman" w:cs="Times New Roman"/>
          <w:sz w:val="26"/>
          <w:szCs w:val="26"/>
          <w:lang w:val="x-none" w:eastAsia="ru-RU"/>
        </w:rPr>
        <w:t xml:space="preserve"> до </w:t>
      </w:r>
      <w:r w:rsidR="00D814F0">
        <w:rPr>
          <w:rFonts w:eastAsia="Times New Roman" w:cs="Times New Roman"/>
          <w:sz w:val="26"/>
          <w:szCs w:val="26"/>
          <w:lang w:eastAsia="ru-RU"/>
        </w:rPr>
        <w:t>Договору</w:t>
      </w:r>
      <w:r w:rsidRPr="00261E4D">
        <w:rPr>
          <w:rFonts w:eastAsia="Times New Roman" w:cs="Times New Roman"/>
          <w:sz w:val="26"/>
          <w:szCs w:val="26"/>
          <w:lang w:val="x-none" w:eastAsia="ru-RU"/>
        </w:rPr>
        <w:t>.</w:t>
      </w:r>
    </w:p>
    <w:p w:rsidR="00B00519" w:rsidRPr="00B00519" w:rsidRDefault="00261E4D" w:rsidP="00B00519">
      <w:pPr>
        <w:keepNext/>
        <w:tabs>
          <w:tab w:val="left" w:pos="708"/>
        </w:tabs>
        <w:ind w:firstLine="709"/>
        <w:jc w:val="both"/>
        <w:rPr>
          <w:rFonts w:eastAsia="Times New Roman" w:cs="Times New Roman"/>
          <w:sz w:val="26"/>
          <w:szCs w:val="26"/>
          <w:lang w:eastAsia="ru-RU"/>
        </w:rPr>
      </w:pPr>
      <w:r w:rsidRPr="00261E4D">
        <w:rPr>
          <w:rFonts w:eastAsia="Times New Roman" w:cs="Times New Roman"/>
          <w:sz w:val="26"/>
          <w:szCs w:val="26"/>
          <w:u w:val="single"/>
          <w:lang w:eastAsia="ru-RU"/>
        </w:rPr>
        <w:t>Очікувані результати:</w:t>
      </w:r>
      <w:r w:rsidRPr="00261E4D">
        <w:rPr>
          <w:rFonts w:eastAsia="Times New Roman" w:cs="Times New Roman"/>
          <w:sz w:val="26"/>
          <w:szCs w:val="26"/>
          <w:lang w:eastAsia="ru-RU"/>
        </w:rPr>
        <w:t xml:space="preserve"> </w:t>
      </w:r>
      <w:r w:rsidR="00B00519" w:rsidRPr="00B00519">
        <w:rPr>
          <w:rFonts w:eastAsia="Times New Roman" w:cs="Times New Roman"/>
          <w:sz w:val="26"/>
          <w:szCs w:val="26"/>
          <w:lang w:eastAsia="ru-RU"/>
        </w:rPr>
        <w:t>у результаті виконання завдання (проекту) буде забезпечено вільний та безоплатний доступ до публічної інформації у формі відкритих даних – знеособленої зведеної інформації для статистичних цілей, знеособленої аналітичної інформації та знеособленої інформації щодо конкретних експортно-імпортних операцій, внесеної декларантом до митної декларації відповідно до частини восьмої статті 257 цього Кодексу, крім інформації, визначеної пунктами 2, 4, підпунктами «б», «в», «д», «є», «з» пункту 5, пунктами 6, 7 i 9 частини восьмої зазначеної статті;</w:t>
      </w:r>
    </w:p>
    <w:p w:rsidR="00B00519" w:rsidRDefault="00B00519" w:rsidP="00B00519">
      <w:pPr>
        <w:keepNext/>
        <w:tabs>
          <w:tab w:val="left" w:pos="708"/>
        </w:tabs>
        <w:ind w:firstLine="709"/>
        <w:jc w:val="both"/>
        <w:rPr>
          <w:rFonts w:eastAsia="Times New Roman" w:cs="Times New Roman"/>
          <w:sz w:val="26"/>
          <w:szCs w:val="26"/>
          <w:lang w:eastAsia="ru-RU"/>
        </w:rPr>
      </w:pPr>
      <w:r w:rsidRPr="00B00519">
        <w:rPr>
          <w:rFonts w:eastAsia="Times New Roman" w:cs="Times New Roman"/>
          <w:sz w:val="26"/>
          <w:szCs w:val="26"/>
          <w:lang w:eastAsia="ru-RU"/>
        </w:rPr>
        <w:t>виконання вимог статті 101 Закону України «Про доступ до публічної інформації», частини п’ятої статті 11 Митного кодексу України, Положення № 835 та Порядку № 462.</w:t>
      </w:r>
    </w:p>
    <w:p w:rsidR="00261E4D" w:rsidRPr="00261E4D" w:rsidRDefault="00261E4D" w:rsidP="00B00519">
      <w:pPr>
        <w:keepNext/>
        <w:tabs>
          <w:tab w:val="left" w:pos="708"/>
        </w:tabs>
        <w:ind w:firstLine="709"/>
        <w:jc w:val="both"/>
        <w:rPr>
          <w:rFonts w:eastAsia="Times New Roman" w:cs="Times New Roman"/>
          <w:sz w:val="26"/>
          <w:szCs w:val="26"/>
          <w:lang w:eastAsia="ru-RU"/>
        </w:rPr>
      </w:pPr>
      <w:r w:rsidRPr="00261E4D">
        <w:rPr>
          <w:rFonts w:eastAsia="Times New Roman" w:cs="Times New Roman"/>
          <w:sz w:val="26"/>
          <w:szCs w:val="26"/>
          <w:lang w:eastAsia="ru-RU"/>
        </w:rPr>
        <w:t xml:space="preserve">5. </w:t>
      </w:r>
      <w:r w:rsidRPr="00261E4D">
        <w:rPr>
          <w:rFonts w:eastAsia="Times New Roman" w:cs="Times New Roman"/>
          <w:sz w:val="26"/>
          <w:szCs w:val="26"/>
          <w:u w:val="single"/>
          <w:lang w:eastAsia="ru-RU"/>
        </w:rPr>
        <w:t>Обґрунтування бюджетного призначення та/або очікуваної вартості предмета закупівлі</w:t>
      </w:r>
      <w:r w:rsidR="00D814F0">
        <w:rPr>
          <w:rFonts w:eastAsia="Times New Roman" w:cs="Times New Roman"/>
          <w:sz w:val="26"/>
          <w:szCs w:val="26"/>
          <w:u w:val="single"/>
          <w:lang w:eastAsia="ru-RU"/>
        </w:rPr>
        <w:t xml:space="preserve"> 790</w:t>
      </w:r>
      <w:r w:rsidR="009C592A">
        <w:rPr>
          <w:rFonts w:eastAsia="Times New Roman" w:cs="Times New Roman"/>
          <w:sz w:val="26"/>
          <w:szCs w:val="26"/>
          <w:u w:val="single"/>
          <w:lang w:eastAsia="ru-RU"/>
        </w:rPr>
        <w:t> </w:t>
      </w:r>
      <w:r w:rsidR="00D814F0">
        <w:rPr>
          <w:rFonts w:eastAsia="Times New Roman" w:cs="Times New Roman"/>
          <w:sz w:val="26"/>
          <w:szCs w:val="26"/>
          <w:u w:val="single"/>
          <w:lang w:eastAsia="ru-RU"/>
        </w:rPr>
        <w:t>000</w:t>
      </w:r>
      <w:r w:rsidR="009C592A">
        <w:rPr>
          <w:rFonts w:eastAsia="Times New Roman" w:cs="Times New Roman"/>
          <w:sz w:val="26"/>
          <w:szCs w:val="26"/>
          <w:u w:val="single"/>
          <w:lang w:eastAsia="ru-RU"/>
        </w:rPr>
        <w:t>,00</w:t>
      </w:r>
      <w:r w:rsidRPr="00261E4D">
        <w:rPr>
          <w:rFonts w:eastAsia="Times New Roman" w:cs="Times New Roman"/>
          <w:sz w:val="26"/>
          <w:szCs w:val="26"/>
          <w:lang w:eastAsia="ru-RU"/>
        </w:rPr>
        <w:t xml:space="preserve"> грн. Розрахунок очікуваної вартості закупівлі послуг доступу до мережі Інтернет на основі рухомого (мобільного) зв’язку </w:t>
      </w:r>
      <w:r w:rsidRPr="00261E4D">
        <w:rPr>
          <w:rFonts w:eastAsia="Times New Roman" w:cs="Times New Roman"/>
          <w:bCs/>
          <w:sz w:val="26"/>
          <w:szCs w:val="26"/>
          <w:lang w:eastAsia="ru-RU"/>
        </w:rPr>
        <w:t>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Pr="00261E4D">
        <w:rPr>
          <w:rFonts w:eastAsia="Times New Roman" w:cs="Times New Roman"/>
          <w:bCs/>
          <w:sz w:val="26"/>
          <w:szCs w:val="26"/>
          <w:lang w:val="en-US" w:eastAsia="ru-RU"/>
        </w:rPr>
        <w:t> </w:t>
      </w:r>
      <w:r w:rsidRPr="00261E4D">
        <w:rPr>
          <w:rFonts w:eastAsia="Times New Roman" w:cs="Times New Roman"/>
          <w:bCs/>
          <w:sz w:val="26"/>
          <w:szCs w:val="26"/>
          <w:lang w:eastAsia="ru-RU"/>
        </w:rPr>
        <w:t>275, а саме</w:t>
      </w:r>
      <w:r w:rsidR="00D814F0">
        <w:rPr>
          <w:rFonts w:eastAsia="Times New Roman" w:cs="Times New Roman"/>
          <w:bCs/>
          <w:sz w:val="26"/>
          <w:szCs w:val="26"/>
          <w:lang w:eastAsia="ru-RU"/>
        </w:rPr>
        <w:t>:</w:t>
      </w:r>
      <w:r w:rsidRPr="00261E4D">
        <w:rPr>
          <w:rFonts w:eastAsia="Times New Roman" w:cs="Times New Roman"/>
          <w:bCs/>
          <w:sz w:val="26"/>
          <w:szCs w:val="26"/>
          <w:lang w:eastAsia="ru-RU"/>
        </w:rPr>
        <w:t xml:space="preserve"> </w:t>
      </w:r>
      <w:r w:rsidR="00D814F0">
        <w:rPr>
          <w:rFonts w:eastAsia="Times New Roman" w:cs="Times New Roman"/>
          <w:bCs/>
          <w:sz w:val="26"/>
          <w:szCs w:val="26"/>
          <w:lang w:eastAsia="ru-RU"/>
        </w:rPr>
        <w:t>л</w:t>
      </w:r>
      <w:r w:rsidR="00D814F0" w:rsidRPr="00D814F0">
        <w:rPr>
          <w:rFonts w:eastAsia="Times New Roman" w:cs="Times New Roman"/>
          <w:bCs/>
          <w:sz w:val="26"/>
          <w:szCs w:val="26"/>
          <w:lang w:eastAsia="ru-RU"/>
        </w:rPr>
        <w:t xml:space="preserve">истом від 10.09.2025 № 1009/01 ТОВ «К’ЮНАЛІТІКС» повідомило, що вартість ліцензії на технічну підтримку програмного продукту «Модуль </w:t>
      </w:r>
      <w:proofErr w:type="spellStart"/>
      <w:r w:rsidR="00D814F0" w:rsidRPr="00D814F0">
        <w:rPr>
          <w:rFonts w:eastAsia="Times New Roman" w:cs="Times New Roman"/>
          <w:bCs/>
          <w:sz w:val="26"/>
          <w:szCs w:val="26"/>
          <w:lang w:eastAsia="ru-RU"/>
        </w:rPr>
        <w:t>Business</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Intelligence</w:t>
      </w:r>
      <w:proofErr w:type="spellEnd"/>
      <w:r w:rsidR="00D814F0" w:rsidRPr="00D814F0">
        <w:rPr>
          <w:rFonts w:eastAsia="Times New Roman" w:cs="Times New Roman"/>
          <w:bCs/>
          <w:sz w:val="26"/>
          <w:szCs w:val="26"/>
          <w:lang w:eastAsia="ru-RU"/>
        </w:rPr>
        <w:t xml:space="preserve"> для Держмитслужби» у складі </w:t>
      </w:r>
      <w:proofErr w:type="spellStart"/>
      <w:r w:rsidR="00D814F0" w:rsidRPr="00D814F0">
        <w:rPr>
          <w:rFonts w:eastAsia="Times New Roman" w:cs="Times New Roman"/>
          <w:bCs/>
          <w:sz w:val="26"/>
          <w:szCs w:val="26"/>
          <w:lang w:eastAsia="ru-RU"/>
        </w:rPr>
        <w:t>Qlik</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Analytics</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Platform</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External</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Edition</w:t>
      </w:r>
      <w:proofErr w:type="spellEnd"/>
      <w:r w:rsidR="00D814F0" w:rsidRPr="00D814F0">
        <w:rPr>
          <w:rFonts w:eastAsia="Times New Roman" w:cs="Times New Roman"/>
          <w:bCs/>
          <w:sz w:val="26"/>
          <w:szCs w:val="26"/>
          <w:lang w:eastAsia="ru-RU"/>
        </w:rPr>
        <w:t xml:space="preserve"> (1 шт.) і </w:t>
      </w:r>
      <w:proofErr w:type="spellStart"/>
      <w:r w:rsidR="00D814F0" w:rsidRPr="00D814F0">
        <w:rPr>
          <w:rFonts w:eastAsia="Times New Roman" w:cs="Times New Roman"/>
          <w:bCs/>
          <w:sz w:val="26"/>
          <w:szCs w:val="26"/>
          <w:lang w:eastAsia="ru-RU"/>
        </w:rPr>
        <w:t>Qlik</w:t>
      </w:r>
      <w:proofErr w:type="spellEnd"/>
      <w:r w:rsidR="00D814F0" w:rsidRPr="00D814F0">
        <w:rPr>
          <w:rFonts w:eastAsia="Times New Roman" w:cs="Times New Roman"/>
          <w:bCs/>
          <w:sz w:val="26"/>
          <w:szCs w:val="26"/>
          <w:lang w:eastAsia="ru-RU"/>
        </w:rPr>
        <w:t xml:space="preserve"> </w:t>
      </w:r>
      <w:proofErr w:type="spellStart"/>
      <w:r w:rsidR="00D814F0" w:rsidRPr="00D814F0">
        <w:rPr>
          <w:rFonts w:eastAsia="Times New Roman" w:cs="Times New Roman"/>
          <w:bCs/>
          <w:sz w:val="26"/>
          <w:szCs w:val="26"/>
          <w:lang w:eastAsia="ru-RU"/>
        </w:rPr>
        <w:t>Sense</w:t>
      </w:r>
      <w:proofErr w:type="spellEnd"/>
      <w:r w:rsidR="00D814F0" w:rsidRPr="00D814F0">
        <w:rPr>
          <w:rFonts w:eastAsia="Times New Roman" w:cs="Times New Roman"/>
          <w:bCs/>
          <w:sz w:val="26"/>
          <w:szCs w:val="26"/>
          <w:lang w:eastAsia="ru-RU"/>
        </w:rPr>
        <w:t xml:space="preserve"> Professional User (2 шт.) з урахуванням максимальної знижки, наданої </w:t>
      </w:r>
      <w:proofErr w:type="spellStart"/>
      <w:r w:rsidR="00D814F0" w:rsidRPr="00D814F0">
        <w:rPr>
          <w:rFonts w:eastAsia="Times New Roman" w:cs="Times New Roman"/>
          <w:bCs/>
          <w:sz w:val="26"/>
          <w:szCs w:val="26"/>
          <w:lang w:eastAsia="ru-RU"/>
        </w:rPr>
        <w:t>вендором</w:t>
      </w:r>
      <w:proofErr w:type="spellEnd"/>
      <w:r w:rsidR="00D814F0" w:rsidRPr="00D814F0">
        <w:rPr>
          <w:rFonts w:eastAsia="Times New Roman" w:cs="Times New Roman"/>
          <w:bCs/>
          <w:sz w:val="26"/>
          <w:szCs w:val="26"/>
          <w:lang w:eastAsia="ru-RU"/>
        </w:rPr>
        <w:t>, складає – 15 869,64 євро.</w:t>
      </w:r>
    </w:p>
    <w:p w:rsidR="00261E4D" w:rsidRPr="00261E4D" w:rsidRDefault="00261E4D" w:rsidP="00261E4D">
      <w:pPr>
        <w:keepNext/>
        <w:tabs>
          <w:tab w:val="left" w:pos="708"/>
        </w:tabs>
        <w:ind w:left="709"/>
        <w:jc w:val="both"/>
        <w:rPr>
          <w:rFonts w:eastAsia="Times New Roman" w:cs="Times New Roman"/>
          <w:sz w:val="26"/>
          <w:szCs w:val="26"/>
          <w:lang w:eastAsia="ru-RU"/>
        </w:rPr>
      </w:pPr>
    </w:p>
    <w:p w:rsidR="00F14357" w:rsidRPr="00092F91" w:rsidRDefault="00F14357" w:rsidP="00261E4D">
      <w:pPr>
        <w:tabs>
          <w:tab w:val="left" w:pos="9639"/>
        </w:tabs>
        <w:ind w:firstLine="567"/>
        <w:jc w:val="both"/>
        <w:rPr>
          <w:b/>
          <w:bCs/>
          <w:color w:val="000000" w:themeColor="text1"/>
          <w:sz w:val="24"/>
          <w:szCs w:val="24"/>
          <w:lang w:eastAsia="uk-UA"/>
        </w:rPr>
      </w:pPr>
    </w:p>
    <w:sectPr w:rsidR="00F14357" w:rsidRPr="00092F91" w:rsidSect="00B00519">
      <w:headerReference w:type="default" r:id="rId7"/>
      <w:pgSz w:w="11906" w:h="16838"/>
      <w:pgMar w:top="850" w:right="850"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E87A92">
          <w:rPr>
            <w:noProof/>
          </w:rPr>
          <w:t>3</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EE31CB"/>
    <w:multiLevelType w:val="multilevel"/>
    <w:tmpl w:val="EB024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4"/>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3"/>
  </w:num>
  <w:num w:numId="7">
    <w:abstractNumId w:val="17"/>
  </w:num>
  <w:num w:numId="8">
    <w:abstractNumId w:val="12"/>
  </w:num>
  <w:num w:numId="9">
    <w:abstractNumId w:val="11"/>
  </w:num>
  <w:num w:numId="10">
    <w:abstractNumId w:val="25"/>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8"/>
  </w:num>
  <w:num w:numId="19">
    <w:abstractNumId w:val="16"/>
  </w:num>
  <w:num w:numId="20">
    <w:abstractNumId w:val="9"/>
  </w:num>
  <w:num w:numId="21">
    <w:abstractNumId w:val="8"/>
  </w:num>
  <w:num w:numId="22">
    <w:abstractNumId w:val="23"/>
  </w:num>
  <w:num w:numId="23">
    <w:abstractNumId w:val="20"/>
  </w:num>
  <w:num w:numId="24">
    <w:abstractNumId w:val="6"/>
  </w:num>
  <w:num w:numId="25">
    <w:abstractNumId w:val="4"/>
  </w:num>
  <w:num w:numId="26">
    <w:abstractNumId w:val="26"/>
  </w:num>
  <w:num w:numId="27">
    <w:abstractNumId w:val="7"/>
  </w:num>
  <w:num w:numId="28">
    <w:abstractNumId w:val="18"/>
  </w:num>
  <w:num w:numId="29">
    <w:abstractNumId w:val="4"/>
  </w:num>
  <w:num w:numId="30">
    <w:abstractNumId w:val="7"/>
  </w:num>
  <w:num w:numId="31">
    <w:abstractNumId w:val="26"/>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3111"/>
    <w:rsid w:val="001463DB"/>
    <w:rsid w:val="00146928"/>
    <w:rsid w:val="001D64B1"/>
    <w:rsid w:val="0022794A"/>
    <w:rsid w:val="00261E4D"/>
    <w:rsid w:val="002F3EF9"/>
    <w:rsid w:val="00307378"/>
    <w:rsid w:val="00330320"/>
    <w:rsid w:val="0033663D"/>
    <w:rsid w:val="00402568"/>
    <w:rsid w:val="00464A76"/>
    <w:rsid w:val="00534801"/>
    <w:rsid w:val="005527AD"/>
    <w:rsid w:val="0055505C"/>
    <w:rsid w:val="00586190"/>
    <w:rsid w:val="00654674"/>
    <w:rsid w:val="00693366"/>
    <w:rsid w:val="006D04CB"/>
    <w:rsid w:val="006E157B"/>
    <w:rsid w:val="006F557D"/>
    <w:rsid w:val="00710917"/>
    <w:rsid w:val="007329CB"/>
    <w:rsid w:val="00733068"/>
    <w:rsid w:val="007E48A6"/>
    <w:rsid w:val="00832E11"/>
    <w:rsid w:val="0084248B"/>
    <w:rsid w:val="008463DD"/>
    <w:rsid w:val="00860A1D"/>
    <w:rsid w:val="0092337D"/>
    <w:rsid w:val="00957C68"/>
    <w:rsid w:val="00972D90"/>
    <w:rsid w:val="00977517"/>
    <w:rsid w:val="00984C2C"/>
    <w:rsid w:val="009B5358"/>
    <w:rsid w:val="009B6ECD"/>
    <w:rsid w:val="009C592A"/>
    <w:rsid w:val="00A13F0A"/>
    <w:rsid w:val="00A238BF"/>
    <w:rsid w:val="00A73625"/>
    <w:rsid w:val="00B00519"/>
    <w:rsid w:val="00B24970"/>
    <w:rsid w:val="00BC2816"/>
    <w:rsid w:val="00C0074F"/>
    <w:rsid w:val="00CA2875"/>
    <w:rsid w:val="00D56785"/>
    <w:rsid w:val="00D814F0"/>
    <w:rsid w:val="00DD27E5"/>
    <w:rsid w:val="00E87A92"/>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 w:type="table" w:customStyle="1" w:styleId="13">
    <w:name w:val="Сітка таблиці1"/>
    <w:basedOn w:val="a2"/>
    <w:next w:val="ad"/>
    <w:uiPriority w:val="59"/>
    <w:rsid w:val="00261E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7834">
      <w:bodyDiv w:val="1"/>
      <w:marLeft w:val="0"/>
      <w:marRight w:val="0"/>
      <w:marTop w:val="0"/>
      <w:marBottom w:val="0"/>
      <w:divBdr>
        <w:top w:val="none" w:sz="0" w:space="0" w:color="auto"/>
        <w:left w:val="none" w:sz="0" w:space="0" w:color="auto"/>
        <w:bottom w:val="none" w:sz="0" w:space="0" w:color="auto"/>
        <w:right w:val="none" w:sz="0" w:space="0" w:color="auto"/>
      </w:divBdr>
    </w:div>
    <w:div w:id="540676474">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939878788">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494101124">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754160180">
      <w:bodyDiv w:val="1"/>
      <w:marLeft w:val="0"/>
      <w:marRight w:val="0"/>
      <w:marTop w:val="0"/>
      <w:marBottom w:val="0"/>
      <w:divBdr>
        <w:top w:val="none" w:sz="0" w:space="0" w:color="auto"/>
        <w:left w:val="none" w:sz="0" w:space="0" w:color="auto"/>
        <w:bottom w:val="none" w:sz="0" w:space="0" w:color="auto"/>
        <w:right w:val="none" w:sz="0" w:space="0" w:color="auto"/>
      </w:divBdr>
    </w:div>
    <w:div w:id="1881016425">
      <w:bodyDiv w:val="1"/>
      <w:marLeft w:val="0"/>
      <w:marRight w:val="0"/>
      <w:marTop w:val="0"/>
      <w:marBottom w:val="0"/>
      <w:divBdr>
        <w:top w:val="none" w:sz="0" w:space="0" w:color="auto"/>
        <w:left w:val="none" w:sz="0" w:space="0" w:color="auto"/>
        <w:bottom w:val="none" w:sz="0" w:space="0" w:color="auto"/>
        <w:right w:val="none" w:sz="0" w:space="0" w:color="auto"/>
      </w:divBdr>
    </w:div>
    <w:div w:id="20641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975</Words>
  <Characters>7007</Characters>
  <Application>Microsoft Office Word</Application>
  <DocSecurity>0</DocSecurity>
  <Lines>116</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61</cp:revision>
  <cp:lastPrinted>2025-10-21T12:24:00Z</cp:lastPrinted>
  <dcterms:created xsi:type="dcterms:W3CDTF">2024-04-11T08:32:00Z</dcterms:created>
  <dcterms:modified xsi:type="dcterms:W3CDTF">2025-10-21T12:25:00Z</dcterms:modified>
</cp:coreProperties>
</file>